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64" w:rsidRPr="000E5BF7" w:rsidRDefault="00680664" w:rsidP="002146A0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680664" w:rsidRPr="000E5BF7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680664" w:rsidRPr="006E5ACF" w:rsidRDefault="00680664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680664" w:rsidRPr="006E5ACF" w:rsidRDefault="00680664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680664" w:rsidRPr="002A7741" w:rsidRDefault="00680664" w:rsidP="002146A0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 w:rsidR="002A7741">
        <w:rPr>
          <w:bCs/>
          <w:sz w:val="28"/>
          <w:szCs w:val="28"/>
        </w:rPr>
        <w:t>автомобілів та автомобільного господарства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80664" w:rsidRPr="006E5ACF" w:rsidTr="002E652D">
        <w:trPr>
          <w:trHeight w:val="1458"/>
        </w:trPr>
        <w:tc>
          <w:tcPr>
            <w:tcW w:w="4928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680664" w:rsidRPr="002E652D" w:rsidRDefault="00680664" w:rsidP="002E652D">
            <w:pPr>
              <w:ind w:left="34"/>
              <w:jc w:val="center"/>
              <w:rPr>
                <w:b/>
              </w:rPr>
            </w:pP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/>
              </w:rPr>
            </w:pPr>
            <w:r w:rsidRPr="002E652D">
              <w:rPr>
                <w:b/>
              </w:rPr>
              <w:t>ЗАТВЕРДЖЕНО»</w:t>
            </w:r>
          </w:p>
          <w:p w:rsidR="0011654A" w:rsidRPr="002E652D" w:rsidRDefault="0011654A" w:rsidP="0011654A">
            <w:pPr>
              <w:spacing w:line="276" w:lineRule="auto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11654A" w:rsidRDefault="0011654A" w:rsidP="0011654A">
            <w:pPr>
              <w:spacing w:line="276" w:lineRule="auto"/>
              <w:ind w:left="34"/>
              <w:jc w:val="center"/>
            </w:pPr>
            <w:r>
              <w:t>Кравець В.В. ________</w:t>
            </w:r>
          </w:p>
          <w:p w:rsidR="00680664" w:rsidRPr="002E652D" w:rsidRDefault="0011654A" w:rsidP="00D43CA1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«</w:t>
            </w:r>
            <w:r w:rsidR="00D43CA1">
              <w:rPr>
                <w:lang w:val="ru-RU"/>
              </w:rPr>
              <w:t xml:space="preserve">     </w:t>
            </w:r>
            <w:r w:rsidRPr="006E5ACF">
              <w:t>»</w:t>
            </w:r>
            <w:r>
              <w:t xml:space="preserve"> </w:t>
            </w:r>
            <w:r w:rsidR="00651E6D">
              <w:t xml:space="preserve">серпня </w:t>
            </w:r>
            <w:r>
              <w:t>/</w:t>
            </w:r>
            <w:r w:rsidRPr="006E5ACF">
              <w:t>20</w:t>
            </w:r>
            <w:r w:rsidR="00651E6D">
              <w:t>1</w:t>
            </w:r>
            <w:r w:rsidR="00D43CA1">
              <w:rPr>
                <w:lang w:val="ru-RU"/>
              </w:rPr>
              <w:t>9</w:t>
            </w:r>
            <w:r w:rsidRPr="006E5ACF">
              <w:t>року</w:t>
            </w:r>
          </w:p>
        </w:tc>
      </w:tr>
    </w:tbl>
    <w:p w:rsidR="00680664" w:rsidRPr="006E5ACF" w:rsidRDefault="00680664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680664" w:rsidRPr="006E5ACF" w:rsidRDefault="00680664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B8193A">
        <w:rPr>
          <w:sz w:val="28"/>
          <w:szCs w:val="28"/>
        </w:rPr>
        <w:t>Вступ до фаху</w:t>
      </w:r>
      <w:r w:rsidRPr="006E5ACF">
        <w:rPr>
          <w:b w:val="0"/>
          <w:sz w:val="28"/>
          <w:szCs w:val="28"/>
        </w:rPr>
        <w:t>»</w:t>
      </w:r>
    </w:p>
    <w:p w:rsidR="00680664" w:rsidRPr="006E5ACF" w:rsidRDefault="00680664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27 -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274</w:t>
            </w:r>
            <w:r w:rsidR="00680664" w:rsidRPr="00B92F53">
              <w:t xml:space="preserve"> </w:t>
            </w:r>
            <w:r>
              <w:t>Автомобільний транспорт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E414AB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AA204B" w:rsidP="00E16396">
            <w:r>
              <w:t>Бакалавр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680664" w:rsidP="00A63728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680664" w:rsidRPr="00B92F53" w:rsidRDefault="00B8193A" w:rsidP="00E16396">
            <w:r>
              <w:t>нормативна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A63728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B8193A" w:rsidP="00A63728">
            <w:r>
              <w:t>3</w:t>
            </w:r>
            <w:r w:rsidR="00680664" w:rsidRPr="00B92F53">
              <w:t xml:space="preserve"> кредит</w:t>
            </w:r>
            <w:r>
              <w:t>и</w:t>
            </w:r>
            <w:r w:rsidR="00680664" w:rsidRPr="00B92F53">
              <w:t xml:space="preserve"> </w:t>
            </w:r>
            <w:r w:rsidR="00B06427" w:rsidRPr="00B92F53">
              <w:t>ЄК</w:t>
            </w:r>
            <w:r w:rsidR="00680664" w:rsidRPr="00B92F53">
              <w:t>Т</w:t>
            </w:r>
            <w:r w:rsidR="00B06427" w:rsidRPr="00B92F53">
              <w:t>С</w:t>
            </w:r>
            <w:r w:rsidR="00680664" w:rsidRPr="00B92F53">
              <w:t xml:space="preserve"> (</w:t>
            </w:r>
            <w:r w:rsidR="00510379">
              <w:t>90</w:t>
            </w:r>
            <w:r w:rsidR="00680664" w:rsidRPr="00B92F53">
              <w:t xml:space="preserve"> годин)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AA204B" w:rsidP="004762A7">
            <w:r>
              <w:t>залік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510379" w:rsidP="004762A7">
            <w:r>
              <w:t>1</w:t>
            </w:r>
            <w:r w:rsidR="00680664" w:rsidRPr="00B92F53">
              <w:t>-й семестр</w:t>
            </w:r>
          </w:p>
        </w:tc>
      </w:tr>
      <w:tr w:rsidR="00680664" w:rsidRPr="00B92F53" w:rsidTr="00B92F53">
        <w:tc>
          <w:tcPr>
            <w:tcW w:w="3402" w:type="dxa"/>
            <w:tcMar>
              <w:left w:w="28" w:type="dxa"/>
              <w:right w:w="28" w:type="dxa"/>
            </w:tcMar>
          </w:tcPr>
          <w:p w:rsidR="00680664" w:rsidRPr="00B92F53" w:rsidRDefault="00680664" w:rsidP="004762A7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680664" w:rsidRPr="00B92F53" w:rsidRDefault="00680664" w:rsidP="0052662F">
            <w:r w:rsidRPr="00B92F53">
              <w:t>українська</w:t>
            </w:r>
          </w:p>
        </w:tc>
      </w:tr>
    </w:tbl>
    <w:p w:rsidR="00680664" w:rsidRPr="006E5ACF" w:rsidRDefault="00680664" w:rsidP="00C323D7">
      <w:pPr>
        <w:spacing w:before="80"/>
      </w:pPr>
    </w:p>
    <w:p w:rsidR="00680664" w:rsidRPr="006E5ACF" w:rsidRDefault="00680664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51E6D">
        <w:t>професор, к.т.н.</w:t>
      </w:r>
      <w:r w:rsidR="002A7741">
        <w:t xml:space="preserve"> </w:t>
      </w:r>
      <w:r w:rsidR="00651E6D">
        <w:t>Бас К.М</w:t>
      </w:r>
      <w:r w:rsidR="00510379">
        <w:t>.</w:t>
      </w:r>
    </w:p>
    <w:p w:rsidR="00680664" w:rsidRPr="006E5ACF" w:rsidRDefault="00680664" w:rsidP="00C323D7">
      <w:pPr>
        <w:jc w:val="center"/>
        <w:rPr>
          <w:i/>
          <w:sz w:val="16"/>
          <w:szCs w:val="16"/>
        </w:rPr>
      </w:pP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20__/20__ н.р.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н.р. __________(___________) «__»___ 20__р.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680664" w:rsidRPr="006E5ACF" w:rsidRDefault="00680664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680664" w:rsidRPr="006E5ACF" w:rsidRDefault="00680664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11654A">
        <w:rPr>
          <w:bCs/>
          <w:sz w:val="28"/>
          <w:szCs w:val="28"/>
        </w:rPr>
        <w:t>1</w:t>
      </w:r>
      <w:r w:rsidR="00D43CA1">
        <w:rPr>
          <w:bCs/>
          <w:sz w:val="28"/>
          <w:szCs w:val="28"/>
          <w:lang w:val="ru-RU"/>
        </w:rPr>
        <w:t>9</w:t>
      </w:r>
      <w:bookmarkStart w:id="0" w:name="_GoBack"/>
      <w:bookmarkEnd w:id="0"/>
      <w:r w:rsidR="0011654A">
        <w:rPr>
          <w:bCs/>
          <w:sz w:val="28"/>
          <w:szCs w:val="28"/>
        </w:rPr>
        <w:t xml:space="preserve"> р.</w:t>
      </w:r>
    </w:p>
    <w:p w:rsidR="00680664" w:rsidRPr="006E5ACF" w:rsidRDefault="00680664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680664" w:rsidRPr="00D857BB" w:rsidRDefault="00680664" w:rsidP="00225B42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E37E16">
        <w:rPr>
          <w:sz w:val="28"/>
          <w:szCs w:val="28"/>
        </w:rPr>
        <w:t>Автомобільні дороги</w:t>
      </w:r>
      <w:r w:rsidRPr="00D857BB">
        <w:rPr>
          <w:b w:val="0"/>
          <w:sz w:val="28"/>
          <w:szCs w:val="28"/>
        </w:rPr>
        <w:t xml:space="preserve">» для </w:t>
      </w:r>
      <w:r w:rsidR="002A7741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2A7741">
        <w:rPr>
          <w:b w:val="0"/>
          <w:sz w:val="28"/>
          <w:szCs w:val="28"/>
        </w:rPr>
        <w:t>274</w:t>
      </w:r>
      <w:r w:rsidRPr="00D857BB">
        <w:rPr>
          <w:b w:val="0"/>
          <w:sz w:val="28"/>
          <w:szCs w:val="28"/>
        </w:rPr>
        <w:t xml:space="preserve"> «</w:t>
      </w:r>
      <w:r w:rsidR="002A7741">
        <w:rPr>
          <w:b w:val="0"/>
          <w:sz w:val="28"/>
          <w:szCs w:val="28"/>
        </w:rPr>
        <w:t>Автомобільний транспорт</w:t>
      </w:r>
      <w:r w:rsidRPr="00D857BB">
        <w:rPr>
          <w:b w:val="0"/>
          <w:sz w:val="28"/>
          <w:szCs w:val="28"/>
        </w:rPr>
        <w:t xml:space="preserve">» / </w:t>
      </w:r>
      <w:r w:rsidRPr="00D857BB">
        <w:rPr>
          <w:b w:val="0"/>
          <w:iCs/>
          <w:sz w:val="28"/>
          <w:szCs w:val="28"/>
        </w:rPr>
        <w:t xml:space="preserve">Нац. </w:t>
      </w:r>
      <w:r>
        <w:rPr>
          <w:b w:val="0"/>
          <w:iCs/>
          <w:sz w:val="28"/>
          <w:szCs w:val="28"/>
        </w:rPr>
        <w:t>техн</w:t>
      </w:r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</w:t>
      </w:r>
      <w:r w:rsidRPr="00D857BB">
        <w:rPr>
          <w:b w:val="0"/>
          <w:iCs/>
          <w:sz w:val="28"/>
          <w:szCs w:val="28"/>
        </w:rPr>
        <w:t xml:space="preserve">, каф. </w:t>
      </w:r>
      <w:r w:rsidR="002A7741">
        <w:rPr>
          <w:b w:val="0"/>
          <w:iCs/>
          <w:sz w:val="28"/>
          <w:szCs w:val="28"/>
        </w:rPr>
        <w:t>Автомобілів та автомобільного господарства</w:t>
      </w:r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 w:rsidR="00D43CA1">
        <w:rPr>
          <w:b w:val="0"/>
          <w:sz w:val="28"/>
          <w:szCs w:val="28"/>
          <w:lang w:val="ru-RU"/>
        </w:rPr>
        <w:t>9</w:t>
      </w:r>
      <w:r w:rsidRPr="00D857BB">
        <w:rPr>
          <w:b w:val="0"/>
          <w:sz w:val="28"/>
          <w:szCs w:val="28"/>
        </w:rPr>
        <w:t>. – 1</w:t>
      </w:r>
      <w:r w:rsidR="007F0ACE">
        <w:rPr>
          <w:b w:val="0"/>
          <w:sz w:val="28"/>
          <w:szCs w:val="28"/>
        </w:rPr>
        <w:t>3</w:t>
      </w:r>
      <w:r w:rsidRPr="00D857BB">
        <w:rPr>
          <w:b w:val="0"/>
          <w:sz w:val="28"/>
          <w:szCs w:val="28"/>
        </w:rPr>
        <w:t xml:space="preserve"> с.</w:t>
      </w:r>
    </w:p>
    <w:p w:rsidR="00680664" w:rsidRPr="00225B42" w:rsidRDefault="00680664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r w:rsidR="009D3B68">
        <w:rPr>
          <w:sz w:val="28"/>
          <w:szCs w:val="28"/>
        </w:rPr>
        <w:t>Бас К.М.</w:t>
      </w:r>
    </w:p>
    <w:p w:rsidR="00680664" w:rsidRPr="004446AF" w:rsidRDefault="00680664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680664" w:rsidRPr="004446AF" w:rsidRDefault="00680664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680664" w:rsidRPr="004446AF" w:rsidRDefault="00680664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680664" w:rsidRPr="004446AF" w:rsidRDefault="00680664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680664" w:rsidRPr="004446AF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680664" w:rsidRDefault="00680664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680664" w:rsidRDefault="00680664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680664" w:rsidRPr="00225B42" w:rsidRDefault="00680664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680664" w:rsidRDefault="00680664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680664" w:rsidRDefault="00680664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680664" w:rsidRPr="006E5ACF" w:rsidRDefault="00680664" w:rsidP="00C41E4D">
      <w:pPr>
        <w:ind w:firstLine="567"/>
        <w:jc w:val="both"/>
        <w:rPr>
          <w:sz w:val="28"/>
          <w:szCs w:val="28"/>
        </w:rPr>
      </w:pPr>
    </w:p>
    <w:p w:rsidR="00680664" w:rsidRPr="006E5ACF" w:rsidRDefault="00680664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680664" w:rsidRPr="00867B60" w:rsidRDefault="00680664" w:rsidP="00891C29">
      <w:pPr>
        <w:pStyle w:val="af5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680664" w:rsidRPr="00867B60" w:rsidRDefault="00680664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Pr="00867B60">
          <w:rPr>
            <w:noProof/>
            <w:webHidden/>
            <w:sz w:val="28"/>
            <w:szCs w:val="28"/>
          </w:rPr>
          <w:fldChar w:fldCharType="begin"/>
        </w:r>
        <w:r w:rsidRPr="00867B60">
          <w:rPr>
            <w:noProof/>
            <w:webHidden/>
            <w:sz w:val="28"/>
            <w:szCs w:val="28"/>
          </w:rPr>
          <w:instrText xml:space="preserve"> PAGEREF _Toc534664485 \h </w:instrText>
        </w:r>
        <w:r w:rsidRPr="00867B60">
          <w:rPr>
            <w:noProof/>
            <w:webHidden/>
            <w:sz w:val="28"/>
            <w:szCs w:val="28"/>
          </w:rPr>
        </w:r>
        <w:r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4</w:t>
        </w:r>
        <w:r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680664" w:rsidRPr="00867B60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_Toc534664486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4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680664" w:rsidRPr="00867B60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_Toc534664487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680664" w:rsidRPr="00867B60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_Toc534664488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680664" w:rsidRPr="00867B60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5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680664" w:rsidRPr="00867B60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_Toc534664490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680664" w:rsidRPr="00867B60">
          <w:rPr>
            <w:rStyle w:val="a9"/>
            <w:noProof/>
            <w:sz w:val="28"/>
            <w:szCs w:val="28"/>
          </w:rPr>
          <w:t>6.1 Шкали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_Toc534664491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6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680664" w:rsidRPr="00867B60">
          <w:rPr>
            <w:rStyle w:val="a9"/>
            <w:noProof/>
            <w:sz w:val="28"/>
            <w:szCs w:val="28"/>
          </w:rPr>
          <w:t>6.2 Засоби та процедури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_Toc534664492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7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680664" w:rsidRPr="00867B60">
          <w:rPr>
            <w:rStyle w:val="a9"/>
            <w:noProof/>
            <w:sz w:val="28"/>
            <w:szCs w:val="28"/>
          </w:rPr>
          <w:t>6.3 Критерії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_Toc534664493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8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680664" w:rsidRPr="00867B60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13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867B60" w:rsidRDefault="005444B0">
      <w:pPr>
        <w:pStyle w:val="14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680664" w:rsidRPr="00867B60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680664" w:rsidRPr="00867B60">
          <w:rPr>
            <w:noProof/>
            <w:webHidden/>
            <w:sz w:val="28"/>
            <w:szCs w:val="28"/>
          </w:rPr>
          <w:tab/>
        </w:r>
        <w:r w:rsidR="00680664" w:rsidRPr="00867B60">
          <w:rPr>
            <w:noProof/>
            <w:webHidden/>
            <w:sz w:val="28"/>
            <w:szCs w:val="28"/>
          </w:rPr>
          <w:fldChar w:fldCharType="begin"/>
        </w:r>
        <w:r w:rsidR="00680664" w:rsidRPr="00867B60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680664" w:rsidRPr="00867B60">
          <w:rPr>
            <w:noProof/>
            <w:webHidden/>
            <w:sz w:val="28"/>
            <w:szCs w:val="28"/>
          </w:rPr>
        </w:r>
        <w:r w:rsidR="00680664" w:rsidRPr="00867B60">
          <w:rPr>
            <w:noProof/>
            <w:webHidden/>
            <w:sz w:val="28"/>
            <w:szCs w:val="28"/>
          </w:rPr>
          <w:fldChar w:fldCharType="separate"/>
        </w:r>
        <w:r w:rsidR="008A5A8B">
          <w:rPr>
            <w:noProof/>
            <w:webHidden/>
            <w:sz w:val="28"/>
            <w:szCs w:val="28"/>
          </w:rPr>
          <w:t>13</w:t>
        </w:r>
        <w:r w:rsidR="00680664" w:rsidRPr="00867B60">
          <w:rPr>
            <w:noProof/>
            <w:webHidden/>
            <w:sz w:val="28"/>
            <w:szCs w:val="28"/>
          </w:rPr>
          <w:fldChar w:fldCharType="end"/>
        </w:r>
      </w:hyperlink>
    </w:p>
    <w:p w:rsidR="00680664" w:rsidRPr="00AC78DA" w:rsidRDefault="00680664" w:rsidP="00C80B7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680664" w:rsidRPr="002B0B64" w:rsidRDefault="00680664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680664" w:rsidRPr="006E5ACF" w:rsidRDefault="00680664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534664485"/>
      <w:bookmarkStart w:id="2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1"/>
    </w:p>
    <w:p w:rsidR="00680664" w:rsidRPr="006E5ACF" w:rsidRDefault="00680664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9137D6">
        <w:rPr>
          <w:spacing w:val="0"/>
          <w:szCs w:val="28"/>
        </w:rPr>
        <w:t>274</w:t>
      </w:r>
      <w:r w:rsidRPr="006E5ACF">
        <w:rPr>
          <w:spacing w:val="0"/>
          <w:szCs w:val="28"/>
        </w:rPr>
        <w:t xml:space="preserve"> «</w:t>
      </w:r>
      <w:r w:rsidR="009137D6">
        <w:rPr>
          <w:spacing w:val="0"/>
          <w:szCs w:val="28"/>
        </w:rPr>
        <w:t>Автомобільний транспорт</w:t>
      </w:r>
      <w:r w:rsidRPr="006E5ACF">
        <w:rPr>
          <w:spacing w:val="0"/>
          <w:szCs w:val="28"/>
        </w:rPr>
        <w:t xml:space="preserve">»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 w:rsidR="00B71859" w:rsidRPr="006E5ACF">
        <w:rPr>
          <w:spacing w:val="0"/>
          <w:szCs w:val="28"/>
        </w:rPr>
        <w:t>Віднесен</w:t>
      </w:r>
      <w:r w:rsidR="00B71859">
        <w:rPr>
          <w:spacing w:val="0"/>
          <w:szCs w:val="28"/>
        </w:rPr>
        <w:t>о</w:t>
      </w:r>
      <w:r w:rsidR="00B71859" w:rsidRPr="006E5ACF"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>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8671"/>
      </w:tblGrid>
      <w:tr w:rsidR="0001500E" w:rsidRPr="008655EC" w:rsidTr="0001500E">
        <w:tc>
          <w:tcPr>
            <w:tcW w:w="497" w:type="pct"/>
          </w:tcPr>
          <w:p w:rsidR="0001500E" w:rsidRPr="00D42CF5" w:rsidRDefault="0001500E" w:rsidP="0001500E">
            <w:bookmarkStart w:id="3" w:name="_Hlk497473763"/>
          </w:p>
        </w:tc>
        <w:tc>
          <w:tcPr>
            <w:tcW w:w="4503" w:type="pct"/>
          </w:tcPr>
          <w:p w:rsidR="0001500E" w:rsidRPr="001F4BD7" w:rsidRDefault="0001500E" w:rsidP="0001500E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6D86" w:rsidRPr="008655EC" w:rsidTr="0001500E">
        <w:tc>
          <w:tcPr>
            <w:tcW w:w="497" w:type="pct"/>
          </w:tcPr>
          <w:p w:rsidR="00656D86" w:rsidRPr="00D42CF5" w:rsidRDefault="00656D86" w:rsidP="00656D86">
            <w:r>
              <w:t>ЗР</w:t>
            </w:r>
            <w:r w:rsidRPr="00D42CF5">
              <w:t>1</w:t>
            </w:r>
          </w:p>
        </w:tc>
        <w:tc>
          <w:tcPr>
            <w:tcW w:w="4503" w:type="pct"/>
          </w:tcPr>
          <w:p w:rsidR="00656D86" w:rsidRPr="001F4BD7" w:rsidRDefault="00291867" w:rsidP="00510379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а</w:t>
            </w:r>
            <w:r w:rsidR="00656D86" w:rsidRPr="001F4BD7">
              <w:rPr>
                <w:color w:val="000000"/>
              </w:rPr>
              <w:t>ргументувати інформацію для прийняття рішень, нести відповідальність за них у стандартних і нестандартних професійних ситуаціях</w:t>
            </w:r>
          </w:p>
        </w:tc>
      </w:tr>
      <w:tr w:rsidR="00656D86" w:rsidRPr="008655EC" w:rsidTr="0001500E">
        <w:tc>
          <w:tcPr>
            <w:tcW w:w="497" w:type="pct"/>
          </w:tcPr>
          <w:p w:rsidR="00656D86" w:rsidRPr="00D42CF5" w:rsidRDefault="00656D86" w:rsidP="00656D86">
            <w:r w:rsidRPr="00D42CF5">
              <w:t>ЗК</w:t>
            </w:r>
            <w:r>
              <w:t>6</w:t>
            </w:r>
          </w:p>
        </w:tc>
        <w:tc>
          <w:tcPr>
            <w:tcW w:w="4503" w:type="pct"/>
          </w:tcPr>
          <w:p w:rsidR="00656D86" w:rsidRPr="001F4BD7" w:rsidRDefault="00656D86" w:rsidP="00656D86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>ідентифікувати майбутню професійну діяльність як соціально значущу для ефективного розвитку країни</w:t>
            </w:r>
          </w:p>
        </w:tc>
      </w:tr>
      <w:tr w:rsidR="00510379" w:rsidRPr="008655EC" w:rsidTr="0001500E">
        <w:tc>
          <w:tcPr>
            <w:tcW w:w="497" w:type="pct"/>
          </w:tcPr>
          <w:p w:rsidR="00510379" w:rsidRPr="00D42CF5" w:rsidRDefault="00510379" w:rsidP="00510379">
            <w:r w:rsidRPr="00D42CF5">
              <w:t>ЗК</w:t>
            </w:r>
            <w:r>
              <w:t>7</w:t>
            </w:r>
          </w:p>
        </w:tc>
        <w:tc>
          <w:tcPr>
            <w:tcW w:w="4503" w:type="pct"/>
          </w:tcPr>
          <w:p w:rsidR="00510379" w:rsidRPr="001F4BD7" w:rsidRDefault="00510379" w:rsidP="00510379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>проводити професійну діяльність у соціальній взаємодії основаній на гуманістичних і етичних засадах</w:t>
            </w:r>
          </w:p>
        </w:tc>
      </w:tr>
      <w:tr w:rsidR="00510379" w:rsidRPr="008655EC" w:rsidTr="0001500E">
        <w:tc>
          <w:tcPr>
            <w:tcW w:w="497" w:type="pct"/>
          </w:tcPr>
          <w:p w:rsidR="00510379" w:rsidRPr="00D42CF5" w:rsidRDefault="00510379" w:rsidP="00510379">
            <w:r w:rsidRPr="00D42CF5">
              <w:t>ЗК</w:t>
            </w:r>
            <w:r>
              <w:t>9</w:t>
            </w:r>
          </w:p>
        </w:tc>
        <w:tc>
          <w:tcPr>
            <w:tcW w:w="4503" w:type="pct"/>
          </w:tcPr>
          <w:p w:rsidR="00510379" w:rsidRPr="001F4BD7" w:rsidRDefault="00510379" w:rsidP="00510379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Здатність 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спілкуватися державною мовою як усно, так і письмово </w:t>
            </w:r>
          </w:p>
        </w:tc>
      </w:tr>
      <w:tr w:rsidR="00510379" w:rsidRPr="008655EC" w:rsidTr="0001500E">
        <w:tc>
          <w:tcPr>
            <w:tcW w:w="497" w:type="pct"/>
          </w:tcPr>
          <w:p w:rsidR="00510379" w:rsidRPr="00D42CF5" w:rsidRDefault="00510379" w:rsidP="005103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СР13</w:t>
            </w:r>
          </w:p>
        </w:tc>
        <w:tc>
          <w:tcPr>
            <w:tcW w:w="4503" w:type="pct"/>
          </w:tcPr>
          <w:p w:rsidR="00510379" w:rsidRPr="00641A0A" w:rsidRDefault="00510379" w:rsidP="00510379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41A0A">
              <w:rPr>
                <w:color w:val="000000"/>
              </w:rPr>
              <w:t>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галузі, її місця у загальній системі знань про природу і суспільство та у розвитку суспільства, техніки і технологій</w:t>
            </w:r>
          </w:p>
        </w:tc>
      </w:tr>
    </w:tbl>
    <w:bookmarkEnd w:id="3"/>
    <w:p w:rsidR="00680664" w:rsidRPr="006E5ACF" w:rsidRDefault="00680664" w:rsidP="00727599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</w:t>
      </w:r>
      <w:r w:rsidR="00392811">
        <w:rPr>
          <w:sz w:val="28"/>
          <w:szCs w:val="28"/>
          <w:lang w:eastAsia="uk-UA"/>
        </w:rPr>
        <w:t xml:space="preserve"> </w:t>
      </w:r>
      <w:r w:rsidR="00201D8C">
        <w:rPr>
          <w:sz w:val="28"/>
          <w:szCs w:val="28"/>
          <w:lang w:eastAsia="uk-UA"/>
        </w:rPr>
        <w:t>Адаптувати</w:t>
      </w:r>
      <w:r w:rsidR="009137D6" w:rsidRPr="009137D6">
        <w:rPr>
          <w:sz w:val="28"/>
          <w:szCs w:val="28"/>
        </w:rPr>
        <w:t xml:space="preserve"> студентів</w:t>
      </w:r>
      <w:r w:rsidR="00201D8C">
        <w:rPr>
          <w:sz w:val="28"/>
          <w:szCs w:val="28"/>
        </w:rPr>
        <w:t xml:space="preserve"> для навчання в університеті за обраною спеціальністю. Сформувати у них творчій підхід до навчання.</w:t>
      </w:r>
    </w:p>
    <w:p w:rsidR="00680664" w:rsidRPr="006E5ACF" w:rsidRDefault="00680664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680664" w:rsidRPr="006E5ACF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_Toc534664486"/>
      <w:bookmarkStart w:id="5" w:name="_Hlk497602021"/>
      <w:bookmarkEnd w:id="2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1479"/>
        <w:gridCol w:w="7192"/>
      </w:tblGrid>
      <w:tr w:rsidR="00680664" w:rsidRPr="000D03FA" w:rsidTr="007B7068">
        <w:trPr>
          <w:tblHeader/>
        </w:trPr>
        <w:tc>
          <w:tcPr>
            <w:tcW w:w="497" w:type="pct"/>
            <w:vMerge w:val="restart"/>
            <w:vAlign w:val="center"/>
          </w:tcPr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680664" w:rsidRPr="008655EC" w:rsidRDefault="00680664" w:rsidP="001508A1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3" w:type="pct"/>
            <w:gridSpan w:val="2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680664" w:rsidRPr="000D03FA" w:rsidTr="007B7068">
        <w:trPr>
          <w:tblHeader/>
        </w:trPr>
        <w:tc>
          <w:tcPr>
            <w:tcW w:w="497" w:type="pct"/>
            <w:vMerge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</w:p>
        </w:tc>
        <w:tc>
          <w:tcPr>
            <w:tcW w:w="768" w:type="pct"/>
            <w:vAlign w:val="center"/>
          </w:tcPr>
          <w:p w:rsidR="00680664" w:rsidRPr="000D03FA" w:rsidRDefault="00680664" w:rsidP="001508A1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3735" w:type="pct"/>
            <w:vAlign w:val="center"/>
          </w:tcPr>
          <w:p w:rsidR="00680664" w:rsidRPr="000D03FA" w:rsidRDefault="00680664" w:rsidP="001508A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201D8C" w:rsidRPr="00E31962" w:rsidTr="007B7068">
        <w:trPr>
          <w:trHeight w:val="423"/>
        </w:trPr>
        <w:tc>
          <w:tcPr>
            <w:tcW w:w="497" w:type="pct"/>
          </w:tcPr>
          <w:p w:rsidR="00201D8C" w:rsidRPr="00D42CF5" w:rsidRDefault="00201D8C" w:rsidP="00201D8C">
            <w:bookmarkStart w:id="6" w:name="_Hlk498188405"/>
            <w:r>
              <w:t>ЗР</w:t>
            </w:r>
            <w:r w:rsidRPr="00D42CF5">
              <w:t>1</w:t>
            </w:r>
          </w:p>
        </w:tc>
        <w:tc>
          <w:tcPr>
            <w:tcW w:w="768" w:type="pct"/>
          </w:tcPr>
          <w:p w:rsidR="00201D8C" w:rsidRPr="00D42CF5" w:rsidRDefault="00201D8C" w:rsidP="00201D8C">
            <w:r>
              <w:t>ЗР</w:t>
            </w:r>
            <w:r w:rsidRPr="00D42CF5">
              <w:t>1</w:t>
            </w:r>
          </w:p>
        </w:tc>
        <w:tc>
          <w:tcPr>
            <w:tcW w:w="3735" w:type="pct"/>
          </w:tcPr>
          <w:p w:rsidR="00201D8C" w:rsidRPr="001F4BD7" w:rsidRDefault="00201D8C" w:rsidP="00201D8C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1F4BD7">
              <w:rPr>
                <w:color w:val="000000"/>
              </w:rPr>
              <w:t>ргументувати інформацію для прийняття рішень, нести відповідальність за них у стандартних і нестандартних професійних ситуаціях</w:t>
            </w:r>
          </w:p>
        </w:tc>
      </w:tr>
      <w:tr w:rsidR="00201D8C" w:rsidRPr="00E31962" w:rsidTr="007B7068">
        <w:tc>
          <w:tcPr>
            <w:tcW w:w="497" w:type="pct"/>
          </w:tcPr>
          <w:p w:rsidR="00201D8C" w:rsidRPr="00D42CF5" w:rsidRDefault="00201D8C" w:rsidP="00201D8C">
            <w:r w:rsidRPr="00D42CF5">
              <w:t>ЗК</w:t>
            </w:r>
            <w:r>
              <w:t>6</w:t>
            </w:r>
          </w:p>
        </w:tc>
        <w:tc>
          <w:tcPr>
            <w:tcW w:w="768" w:type="pct"/>
          </w:tcPr>
          <w:p w:rsidR="00201D8C" w:rsidRPr="00D42CF5" w:rsidRDefault="00201D8C" w:rsidP="00201D8C">
            <w:r w:rsidRPr="00D42CF5">
              <w:t>ЗК</w:t>
            </w:r>
            <w:r>
              <w:t>6</w:t>
            </w:r>
          </w:p>
        </w:tc>
        <w:tc>
          <w:tcPr>
            <w:tcW w:w="3735" w:type="pct"/>
          </w:tcPr>
          <w:p w:rsidR="00201D8C" w:rsidRPr="001F4BD7" w:rsidRDefault="00201D8C" w:rsidP="00201D8C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>дентифікувати майбутню професійну діяльність як соціально значущу для ефективного розвитку країни</w:t>
            </w:r>
          </w:p>
        </w:tc>
      </w:tr>
      <w:tr w:rsidR="00201D8C" w:rsidRPr="00E31962" w:rsidTr="007B7068">
        <w:tc>
          <w:tcPr>
            <w:tcW w:w="497" w:type="pct"/>
          </w:tcPr>
          <w:p w:rsidR="00201D8C" w:rsidRPr="00D42CF5" w:rsidRDefault="00201D8C" w:rsidP="00201D8C">
            <w:r w:rsidRPr="00D42CF5">
              <w:t>ЗК</w:t>
            </w:r>
            <w:r>
              <w:t>7</w:t>
            </w:r>
          </w:p>
        </w:tc>
        <w:tc>
          <w:tcPr>
            <w:tcW w:w="768" w:type="pct"/>
          </w:tcPr>
          <w:p w:rsidR="00201D8C" w:rsidRPr="00D42CF5" w:rsidRDefault="00201D8C" w:rsidP="00201D8C">
            <w:r w:rsidRPr="00D42CF5">
              <w:t>ЗК</w:t>
            </w:r>
            <w:r>
              <w:t>7</w:t>
            </w:r>
          </w:p>
        </w:tc>
        <w:tc>
          <w:tcPr>
            <w:tcW w:w="3735" w:type="pct"/>
          </w:tcPr>
          <w:p w:rsidR="00201D8C" w:rsidRPr="001F4BD7" w:rsidRDefault="00201D8C" w:rsidP="00201D8C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>роводити професійну діяльність у соціальній взаємодії основаній на гуманістичних і етичних засадах</w:t>
            </w:r>
          </w:p>
        </w:tc>
      </w:tr>
      <w:tr w:rsidR="00201D8C" w:rsidRPr="00E31962" w:rsidTr="007B7068">
        <w:tc>
          <w:tcPr>
            <w:tcW w:w="497" w:type="pct"/>
          </w:tcPr>
          <w:p w:rsidR="00201D8C" w:rsidRPr="00D42CF5" w:rsidRDefault="00201D8C" w:rsidP="00201D8C">
            <w:r w:rsidRPr="00D42CF5">
              <w:t>ЗК</w:t>
            </w:r>
            <w:r>
              <w:t>9</w:t>
            </w:r>
          </w:p>
        </w:tc>
        <w:tc>
          <w:tcPr>
            <w:tcW w:w="768" w:type="pct"/>
          </w:tcPr>
          <w:p w:rsidR="00201D8C" w:rsidRPr="00D42CF5" w:rsidRDefault="00201D8C" w:rsidP="00201D8C">
            <w:r w:rsidRPr="00D42CF5">
              <w:t>ЗК</w:t>
            </w:r>
            <w:r>
              <w:t>9</w:t>
            </w:r>
          </w:p>
        </w:tc>
        <w:tc>
          <w:tcPr>
            <w:tcW w:w="3735" w:type="pct"/>
          </w:tcPr>
          <w:p w:rsidR="00201D8C" w:rsidRPr="001F4BD7" w:rsidRDefault="00201D8C" w:rsidP="00201D8C">
            <w:pPr>
              <w:pStyle w:val="1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F4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пілкуватися державною мовою як усно, так і письмово </w:t>
            </w:r>
          </w:p>
        </w:tc>
      </w:tr>
      <w:tr w:rsidR="00201D8C" w:rsidRPr="00E31962" w:rsidTr="007B7068">
        <w:tc>
          <w:tcPr>
            <w:tcW w:w="497" w:type="pct"/>
          </w:tcPr>
          <w:p w:rsidR="00201D8C" w:rsidRPr="00D42CF5" w:rsidRDefault="00201D8C" w:rsidP="00201D8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СР13</w:t>
            </w:r>
          </w:p>
        </w:tc>
        <w:tc>
          <w:tcPr>
            <w:tcW w:w="768" w:type="pct"/>
          </w:tcPr>
          <w:p w:rsidR="00201D8C" w:rsidRPr="00D42CF5" w:rsidRDefault="00201D8C" w:rsidP="00201D8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СР13</w:t>
            </w:r>
          </w:p>
        </w:tc>
        <w:tc>
          <w:tcPr>
            <w:tcW w:w="3735" w:type="pct"/>
          </w:tcPr>
          <w:p w:rsidR="00201D8C" w:rsidRPr="00641A0A" w:rsidRDefault="00201D8C" w:rsidP="00201D8C">
            <w:pPr>
              <w:ind w:right="49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41A0A">
              <w:rPr>
                <w:color w:val="000000"/>
              </w:rPr>
              <w:t>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галузі, її місця у загальній системі знань про природу і суспільство та у розвитку суспільства, техніки і технологій</w:t>
            </w:r>
          </w:p>
        </w:tc>
      </w:tr>
    </w:tbl>
    <w:p w:rsidR="00201D8C" w:rsidRDefault="00680664" w:rsidP="00201D8C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5"/>
      <w:bookmarkEnd w:id="6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3118C7">
        <w:rPr>
          <w:rFonts w:ascii="Times New Roman" w:hAnsi="Times New Roman"/>
          <w:b/>
          <w:bCs/>
          <w:color w:val="000000"/>
          <w:sz w:val="28"/>
          <w:szCs w:val="28"/>
        </w:rPr>
        <w:t>БАЗОВ</w:t>
      </w:r>
      <w:r w:rsidR="00805A25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3118C7"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ДИСЦИПЛІН</w:t>
      </w:r>
      <w:bookmarkEnd w:id="7"/>
      <w:r w:rsidR="00805A25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01D8C" w:rsidRDefault="00201D8C" w:rsidP="00201D8C">
      <w:r>
        <w:t>Відсутні.</w:t>
      </w:r>
    </w:p>
    <w:p w:rsidR="00201D8C" w:rsidRPr="00201D8C" w:rsidRDefault="00201D8C" w:rsidP="00201D8C"/>
    <w:p w:rsidR="00680664" w:rsidRPr="000E5B22" w:rsidRDefault="00680664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10"/>
    </w:p>
    <w:tbl>
      <w:tblPr>
        <w:tblW w:w="9651" w:type="dxa"/>
        <w:tblLook w:val="04A0" w:firstRow="1" w:lastRow="0" w:firstColumn="1" w:lastColumn="0" w:noHBand="0" w:noVBand="1"/>
      </w:tblPr>
      <w:tblGrid>
        <w:gridCol w:w="1975"/>
        <w:gridCol w:w="482"/>
        <w:gridCol w:w="1149"/>
        <w:gridCol w:w="1249"/>
        <w:gridCol w:w="1149"/>
        <w:gridCol w:w="1249"/>
        <w:gridCol w:w="1149"/>
        <w:gridCol w:w="1249"/>
      </w:tblGrid>
      <w:tr w:rsidR="00B74EFF" w:rsidRPr="00B74EFF" w:rsidTr="00B74EFF">
        <w:trPr>
          <w:trHeight w:val="33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bookmarkStart w:id="11" w:name="_Toc534664489"/>
            <w:r w:rsidRPr="00B74EFF">
              <w:rPr>
                <w:b/>
                <w:bCs/>
                <w:color w:val="000000"/>
                <w:sz w:val="22"/>
              </w:rPr>
              <w:t>Вид навчальних занять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Обсяг</w:t>
            </w:r>
            <w:r w:rsidRPr="00B74EFF">
              <w:rPr>
                <w:color w:val="000000"/>
                <w:sz w:val="22"/>
              </w:rPr>
              <w:t xml:space="preserve">, </w:t>
            </w:r>
            <w:r w:rsidRPr="00B74EFF">
              <w:rPr>
                <w:i/>
                <w:iCs/>
                <w:color w:val="000000"/>
                <w:sz w:val="22"/>
              </w:rPr>
              <w:t>години</w:t>
            </w:r>
          </w:p>
        </w:tc>
        <w:tc>
          <w:tcPr>
            <w:tcW w:w="7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Розподіл за формами навчання</w:t>
            </w:r>
            <w:r w:rsidRPr="00B74EFF">
              <w:rPr>
                <w:i/>
                <w:iCs/>
                <w:color w:val="000000"/>
                <w:sz w:val="22"/>
              </w:rPr>
              <w:t>, години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денна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вечірня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b/>
                <w:bCs/>
                <w:color w:val="000000"/>
                <w:sz w:val="22"/>
                <w:lang w:val="ru-RU"/>
              </w:rPr>
            </w:pPr>
            <w:r w:rsidRPr="00B74EFF">
              <w:rPr>
                <w:b/>
                <w:bCs/>
                <w:color w:val="000000"/>
                <w:sz w:val="22"/>
              </w:rPr>
              <w:t>заочна</w:t>
            </w:r>
          </w:p>
        </w:tc>
      </w:tr>
      <w:tr w:rsidR="00B74EFF" w:rsidRPr="00B74EFF" w:rsidTr="00B74EFF">
        <w:trPr>
          <w:trHeight w:val="91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EFF" w:rsidRPr="00B74EFF" w:rsidRDefault="00B74EFF" w:rsidP="00B74EFF">
            <w:pPr>
              <w:rPr>
                <w:b/>
                <w:bCs/>
                <w:color w:val="000000"/>
                <w:sz w:val="22"/>
                <w:lang w:val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74EFF">
              <w:rPr>
                <w:color w:val="000000"/>
                <w:sz w:val="22"/>
                <w:szCs w:val="22"/>
              </w:rPr>
              <w:t>самостійна робота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лекційні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39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практичні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4</w:t>
            </w:r>
            <w:r w:rsidR="00A71FD7">
              <w:rPr>
                <w:bCs/>
                <w:color w:val="000000"/>
                <w:sz w:val="22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  <w:lang w:val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</w:rPr>
              <w:t>41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лабораторні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семінари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-</w:t>
            </w:r>
          </w:p>
        </w:tc>
      </w:tr>
      <w:tr w:rsidR="00B74EFF" w:rsidRPr="00B74EFF" w:rsidTr="00B74EFF">
        <w:trPr>
          <w:trHeight w:val="3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right"/>
              <w:rPr>
                <w:color w:val="000000"/>
                <w:sz w:val="22"/>
                <w:lang w:val="ru-RU"/>
              </w:rPr>
            </w:pPr>
            <w:r w:rsidRPr="00B74EFF">
              <w:rPr>
                <w:color w:val="000000"/>
                <w:sz w:val="22"/>
              </w:rPr>
              <w:t>РАЗОМ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9</w:t>
            </w:r>
            <w:r w:rsidR="00A71FD7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B74EFF" w:rsidP="00B74EFF">
            <w:pPr>
              <w:jc w:val="center"/>
              <w:rPr>
                <w:color w:val="000000"/>
                <w:sz w:val="22"/>
                <w:lang w:val="ru-RU"/>
              </w:rPr>
            </w:pPr>
            <w:r w:rsidRPr="00B74EFF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EFF" w:rsidRPr="00B74EFF" w:rsidRDefault="00201D8C" w:rsidP="00B74EFF">
            <w:pPr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bCs/>
                <w:color w:val="000000"/>
                <w:sz w:val="22"/>
              </w:rPr>
              <w:t>80</w:t>
            </w:r>
          </w:p>
        </w:tc>
      </w:tr>
    </w:tbl>
    <w:p w:rsidR="008A5A8B" w:rsidRDefault="008A5A8B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A8B" w:rsidRDefault="008A5A8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680664" w:rsidRDefault="00680664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1"/>
    </w:p>
    <w:p w:rsidR="00680664" w:rsidRPr="004A0405" w:rsidRDefault="00680664" w:rsidP="009648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782"/>
        <w:gridCol w:w="1517"/>
      </w:tblGrid>
      <w:tr w:rsidR="00680664" w:rsidRPr="00E31962" w:rsidTr="00CA5735">
        <w:trPr>
          <w:trHeight w:val="365"/>
          <w:tblHeader/>
        </w:trPr>
        <w:tc>
          <w:tcPr>
            <w:tcW w:w="690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680664" w:rsidRPr="00E31962" w:rsidRDefault="00680664" w:rsidP="001508A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680664" w:rsidRDefault="00680664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680664" w:rsidRPr="00E31962" w:rsidTr="00CA5735">
        <w:trPr>
          <w:trHeight w:val="365"/>
        </w:trPr>
        <w:tc>
          <w:tcPr>
            <w:tcW w:w="690" w:type="pct"/>
          </w:tcPr>
          <w:p w:rsidR="00680664" w:rsidRPr="00E31962" w:rsidRDefault="00680664" w:rsidP="001508A1"/>
        </w:tc>
        <w:tc>
          <w:tcPr>
            <w:tcW w:w="3522" w:type="pct"/>
            <w:tcBorders>
              <w:bottom w:val="single" w:sz="4" w:space="0" w:color="auto"/>
            </w:tcBorders>
            <w:vAlign w:val="center"/>
          </w:tcPr>
          <w:p w:rsidR="00680664" w:rsidRPr="00E31962" w:rsidRDefault="00680664" w:rsidP="001508A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680664" w:rsidRDefault="00B67DA2" w:rsidP="001508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B67DA2" w:rsidRPr="00E31962" w:rsidTr="005805C8">
        <w:trPr>
          <w:trHeight w:val="378"/>
        </w:trPr>
        <w:tc>
          <w:tcPr>
            <w:tcW w:w="690" w:type="pct"/>
            <w:vMerge w:val="restart"/>
          </w:tcPr>
          <w:p w:rsidR="00B67DA2" w:rsidRPr="00E31962" w:rsidRDefault="00B67DA2" w:rsidP="00B67DA2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B67DA2" w:rsidRPr="00D74E46" w:rsidRDefault="00B67DA2" w:rsidP="00B67DA2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74E46">
              <w:rPr>
                <w:b/>
                <w:sz w:val="22"/>
                <w:szCs w:val="22"/>
              </w:rPr>
              <w:t>Тема 1.</w:t>
            </w:r>
            <w:r w:rsidR="00ED571C">
              <w:rPr>
                <w:b/>
                <w:sz w:val="22"/>
                <w:szCs w:val="22"/>
              </w:rPr>
              <w:t xml:space="preserve"> </w:t>
            </w:r>
            <w:r w:rsidR="00ED571C">
              <w:rPr>
                <w:szCs w:val="28"/>
              </w:rPr>
              <w:t>Історія автомобіля та автомобілебудування</w:t>
            </w:r>
            <w:r w:rsidRPr="00D74E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8" w:type="pct"/>
            <w:vAlign w:val="center"/>
          </w:tcPr>
          <w:p w:rsidR="00B67DA2" w:rsidRDefault="00B67DA2" w:rsidP="00B67DA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B67DA2" w:rsidRPr="00E31962" w:rsidTr="00CA5735">
        <w:trPr>
          <w:trHeight w:val="411"/>
        </w:trPr>
        <w:tc>
          <w:tcPr>
            <w:tcW w:w="690" w:type="pct"/>
            <w:vMerge/>
          </w:tcPr>
          <w:p w:rsidR="00B67DA2" w:rsidRPr="00E31962" w:rsidRDefault="00B67DA2" w:rsidP="00B67DA2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</w:tcBorders>
          </w:tcPr>
          <w:p w:rsidR="00B67DA2" w:rsidRPr="00E31962" w:rsidRDefault="00B67DA2" w:rsidP="00B67DA2">
            <w:r w:rsidRPr="00664CCE">
              <w:rPr>
                <w:b/>
                <w:szCs w:val="28"/>
              </w:rPr>
              <w:t>Тема 2</w:t>
            </w:r>
            <w:r>
              <w:rPr>
                <w:b/>
                <w:szCs w:val="28"/>
              </w:rPr>
              <w:t xml:space="preserve">. </w:t>
            </w:r>
            <w:r w:rsidR="00ED571C">
              <w:rPr>
                <w:sz w:val="22"/>
                <w:szCs w:val="22"/>
              </w:rPr>
              <w:t>Історія НТУ «Дніпровська політехніка»</w:t>
            </w:r>
          </w:p>
        </w:tc>
        <w:tc>
          <w:tcPr>
            <w:tcW w:w="788" w:type="pct"/>
            <w:vAlign w:val="center"/>
          </w:tcPr>
          <w:p w:rsidR="00B67DA2" w:rsidRDefault="00B67DA2" w:rsidP="00B67DA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B67DA2" w:rsidRPr="00E31962" w:rsidTr="00ED571C">
        <w:trPr>
          <w:trHeight w:val="409"/>
        </w:trPr>
        <w:tc>
          <w:tcPr>
            <w:tcW w:w="690" w:type="pct"/>
            <w:vMerge/>
          </w:tcPr>
          <w:p w:rsidR="00B67DA2" w:rsidRPr="00E31962" w:rsidRDefault="00B67DA2" w:rsidP="00B67DA2">
            <w:pPr>
              <w:rPr>
                <w:color w:val="000000"/>
              </w:rPr>
            </w:pPr>
          </w:p>
        </w:tc>
        <w:tc>
          <w:tcPr>
            <w:tcW w:w="3522" w:type="pct"/>
            <w:vAlign w:val="center"/>
          </w:tcPr>
          <w:p w:rsidR="00B67DA2" w:rsidRPr="00E31962" w:rsidRDefault="00B67DA2" w:rsidP="00B67DA2">
            <w:r>
              <w:rPr>
                <w:b/>
                <w:szCs w:val="28"/>
              </w:rPr>
              <w:t>Тема 3.</w:t>
            </w:r>
            <w:r>
              <w:rPr>
                <w:szCs w:val="28"/>
              </w:rPr>
              <w:t xml:space="preserve"> </w:t>
            </w:r>
            <w:r w:rsidR="00284942">
              <w:rPr>
                <w:szCs w:val="28"/>
              </w:rPr>
              <w:t>Структура університету.</w:t>
            </w:r>
          </w:p>
        </w:tc>
        <w:tc>
          <w:tcPr>
            <w:tcW w:w="788" w:type="pct"/>
            <w:vAlign w:val="center"/>
          </w:tcPr>
          <w:p w:rsidR="00B67DA2" w:rsidRDefault="00B67DA2" w:rsidP="00B67DA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B67DA2" w:rsidRPr="00E31962" w:rsidTr="005805C8">
        <w:trPr>
          <w:trHeight w:val="411"/>
        </w:trPr>
        <w:tc>
          <w:tcPr>
            <w:tcW w:w="690" w:type="pct"/>
            <w:vMerge/>
          </w:tcPr>
          <w:p w:rsidR="00B67DA2" w:rsidRPr="00E31962" w:rsidRDefault="00B67DA2" w:rsidP="00B67DA2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B67DA2" w:rsidRPr="00E31962" w:rsidRDefault="00B67DA2" w:rsidP="00B67DA2">
            <w:pPr>
              <w:rPr>
                <w:b/>
              </w:rPr>
            </w:pPr>
            <w:r>
              <w:rPr>
                <w:b/>
                <w:szCs w:val="28"/>
              </w:rPr>
              <w:t>Тема 4.</w:t>
            </w:r>
            <w:r>
              <w:rPr>
                <w:szCs w:val="28"/>
              </w:rPr>
              <w:t xml:space="preserve"> </w:t>
            </w:r>
            <w:r w:rsidR="00ED571C">
              <w:rPr>
                <w:szCs w:val="28"/>
              </w:rPr>
              <w:t>Вимоги та професійні компетенції фахівця з автомобільного транспорту</w:t>
            </w:r>
            <w:r>
              <w:rPr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B67DA2" w:rsidRDefault="00B67DA2" w:rsidP="00B67DA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B67DA2" w:rsidRPr="00E31962" w:rsidTr="00CA5735">
        <w:trPr>
          <w:trHeight w:val="443"/>
        </w:trPr>
        <w:tc>
          <w:tcPr>
            <w:tcW w:w="690" w:type="pct"/>
            <w:vMerge/>
          </w:tcPr>
          <w:p w:rsidR="00B67DA2" w:rsidRPr="00E31962" w:rsidRDefault="00B67DA2" w:rsidP="00B67DA2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B67DA2" w:rsidRPr="00E31962" w:rsidRDefault="00B67DA2" w:rsidP="00B67DA2">
            <w:r>
              <w:rPr>
                <w:b/>
                <w:szCs w:val="28"/>
              </w:rPr>
              <w:t xml:space="preserve">Тема 5. </w:t>
            </w:r>
            <w:r w:rsidR="00ED571C">
              <w:rPr>
                <w:szCs w:val="28"/>
              </w:rPr>
              <w:t>Зв'язок компетенцій, навичок та предметів, що вивчають студенти за спеціальністю «Автомобільний транспорт»</w:t>
            </w:r>
          </w:p>
        </w:tc>
        <w:tc>
          <w:tcPr>
            <w:tcW w:w="788" w:type="pct"/>
            <w:vAlign w:val="center"/>
          </w:tcPr>
          <w:p w:rsidR="00B67DA2" w:rsidRDefault="00B67DA2" w:rsidP="00B67DA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B67DA2" w:rsidRPr="00E31962" w:rsidTr="00ED571C">
        <w:trPr>
          <w:trHeight w:val="281"/>
        </w:trPr>
        <w:tc>
          <w:tcPr>
            <w:tcW w:w="690" w:type="pct"/>
            <w:vMerge/>
          </w:tcPr>
          <w:p w:rsidR="00B67DA2" w:rsidRPr="00E31962" w:rsidRDefault="00B67DA2" w:rsidP="00B67DA2">
            <w:pPr>
              <w:rPr>
                <w:color w:val="000000"/>
              </w:rPr>
            </w:pPr>
          </w:p>
        </w:tc>
        <w:tc>
          <w:tcPr>
            <w:tcW w:w="3522" w:type="pct"/>
          </w:tcPr>
          <w:p w:rsidR="00B67DA2" w:rsidRPr="00E31962" w:rsidRDefault="00B67DA2" w:rsidP="00B67DA2">
            <w:r>
              <w:rPr>
                <w:b/>
                <w:szCs w:val="28"/>
              </w:rPr>
              <w:t>Тема 6.</w:t>
            </w:r>
            <w:r>
              <w:rPr>
                <w:szCs w:val="28"/>
              </w:rPr>
              <w:t xml:space="preserve"> </w:t>
            </w:r>
            <w:r w:rsidR="00ED571C">
              <w:rPr>
                <w:szCs w:val="28"/>
              </w:rPr>
              <w:t>Права студентів</w:t>
            </w:r>
          </w:p>
        </w:tc>
        <w:tc>
          <w:tcPr>
            <w:tcW w:w="788" w:type="pct"/>
            <w:vAlign w:val="center"/>
          </w:tcPr>
          <w:p w:rsidR="00B67DA2" w:rsidRDefault="00B67DA2" w:rsidP="00B67DA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B67DA2" w:rsidRPr="00E31962" w:rsidTr="00CA5735">
        <w:trPr>
          <w:trHeight w:val="137"/>
        </w:trPr>
        <w:tc>
          <w:tcPr>
            <w:tcW w:w="690" w:type="pct"/>
            <w:vMerge/>
          </w:tcPr>
          <w:p w:rsidR="00B67DA2" w:rsidRPr="00E31962" w:rsidRDefault="00B67DA2" w:rsidP="00B67DA2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B67DA2" w:rsidRPr="00521F0B" w:rsidRDefault="00B67DA2" w:rsidP="00B67DA2">
            <w:pPr>
              <w:tabs>
                <w:tab w:val="left" w:pos="284"/>
                <w:tab w:val="left" w:pos="567"/>
              </w:tabs>
              <w:rPr>
                <w:color w:val="000000"/>
                <w:sz w:val="22"/>
                <w:szCs w:val="28"/>
              </w:rPr>
            </w:pPr>
            <w:r w:rsidRPr="00664CCE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>7</w:t>
            </w:r>
            <w:r w:rsidRPr="00664CCE">
              <w:rPr>
                <w:b/>
                <w:szCs w:val="28"/>
              </w:rPr>
              <w:t>.</w:t>
            </w:r>
            <w:r w:rsidRPr="00664CCE">
              <w:rPr>
                <w:szCs w:val="28"/>
              </w:rPr>
              <w:t xml:space="preserve"> </w:t>
            </w:r>
            <w:r w:rsidR="00ED571C">
              <w:rPr>
                <w:szCs w:val="28"/>
              </w:rPr>
              <w:t>Обов’язки студентів</w:t>
            </w:r>
          </w:p>
        </w:tc>
        <w:tc>
          <w:tcPr>
            <w:tcW w:w="788" w:type="pct"/>
            <w:vAlign w:val="center"/>
          </w:tcPr>
          <w:p w:rsidR="00B67DA2" w:rsidRDefault="00B67DA2" w:rsidP="00B67DA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D74E46" w:rsidRPr="00E31962" w:rsidTr="00CA5735">
        <w:trPr>
          <w:trHeight w:val="137"/>
        </w:trPr>
        <w:tc>
          <w:tcPr>
            <w:tcW w:w="690" w:type="pct"/>
          </w:tcPr>
          <w:p w:rsidR="00D74E46" w:rsidRPr="00E31962" w:rsidRDefault="00D74E46" w:rsidP="00D74E46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D74E46" w:rsidRPr="00521F0B" w:rsidRDefault="00D74E46" w:rsidP="00D74E46">
            <w:pPr>
              <w:rPr>
                <w:color w:val="000000"/>
                <w:sz w:val="22"/>
                <w:szCs w:val="28"/>
              </w:rPr>
            </w:pPr>
            <w:r w:rsidRPr="00E31962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vAlign w:val="center"/>
          </w:tcPr>
          <w:p w:rsidR="00D74E46" w:rsidRPr="00E31962" w:rsidRDefault="00A71FD7" w:rsidP="00D74E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A14C3">
              <w:rPr>
                <w:b/>
                <w:color w:val="000000"/>
              </w:rPr>
              <w:t>8</w:t>
            </w:r>
          </w:p>
        </w:tc>
      </w:tr>
      <w:tr w:rsidR="00B67DA2" w:rsidRPr="008A5B1B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vMerge w:val="restart"/>
            <w:shd w:val="clear" w:color="auto" w:fill="auto"/>
          </w:tcPr>
          <w:p w:rsidR="00B67DA2" w:rsidRPr="008A5B1B" w:rsidRDefault="00B67DA2" w:rsidP="0098371D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B67DA2" w:rsidRPr="008A5B1B" w:rsidRDefault="00ED571C" w:rsidP="0098371D">
            <w:pPr>
              <w:pStyle w:val="ad"/>
              <w:numPr>
                <w:ilvl w:val="0"/>
                <w:numId w:val="34"/>
              </w:numPr>
            </w:pPr>
            <w:r>
              <w:t>Розклад занять та графік навчального процесу.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B67DA2" w:rsidRDefault="00B67DA2" w:rsidP="0098371D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B67DA2" w:rsidRPr="008A5B1B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vMerge/>
            <w:shd w:val="clear" w:color="auto" w:fill="auto"/>
          </w:tcPr>
          <w:p w:rsidR="00B67DA2" w:rsidRPr="008A5B1B" w:rsidRDefault="00B67DA2" w:rsidP="00B67DA2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B67DA2" w:rsidRPr="008A5B1B" w:rsidRDefault="00284942" w:rsidP="00B67DA2">
            <w:pPr>
              <w:pStyle w:val="ad"/>
              <w:numPr>
                <w:ilvl w:val="0"/>
                <w:numId w:val="34"/>
              </w:numPr>
            </w:pPr>
            <w:r>
              <w:t>Особиста організація навчального процесу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B67DA2" w:rsidRDefault="00B67DA2" w:rsidP="00B67DA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B67DA2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vMerge/>
            <w:shd w:val="clear" w:color="auto" w:fill="auto"/>
          </w:tcPr>
          <w:p w:rsidR="00B67DA2" w:rsidRPr="008A5B1B" w:rsidRDefault="00B67DA2" w:rsidP="00B67DA2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B67DA2" w:rsidRDefault="00284942" w:rsidP="00B67DA2">
            <w:pPr>
              <w:pStyle w:val="ad"/>
              <w:numPr>
                <w:ilvl w:val="0"/>
                <w:numId w:val="34"/>
              </w:numPr>
            </w:pPr>
            <w:r>
              <w:t>Правила поведінки та техніки безпеки в університеті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B67DA2" w:rsidRDefault="00B67DA2" w:rsidP="00B67DA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284942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vMerge/>
            <w:shd w:val="clear" w:color="auto" w:fill="auto"/>
          </w:tcPr>
          <w:p w:rsidR="00284942" w:rsidRPr="008A5B1B" w:rsidRDefault="00284942" w:rsidP="00284942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284942" w:rsidRPr="008A5B1B" w:rsidRDefault="00284942" w:rsidP="00284942">
            <w:pPr>
              <w:pStyle w:val="ad"/>
              <w:numPr>
                <w:ilvl w:val="0"/>
                <w:numId w:val="34"/>
              </w:numPr>
            </w:pPr>
            <w:r>
              <w:t>Знайомство з бібліотекою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84942" w:rsidRDefault="00284942" w:rsidP="0028494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284942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vMerge/>
            <w:shd w:val="clear" w:color="auto" w:fill="auto"/>
          </w:tcPr>
          <w:p w:rsidR="00284942" w:rsidRPr="008A5B1B" w:rsidRDefault="00284942" w:rsidP="00284942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284942" w:rsidRDefault="00284942" w:rsidP="00284942">
            <w:pPr>
              <w:pStyle w:val="ad"/>
              <w:numPr>
                <w:ilvl w:val="0"/>
                <w:numId w:val="34"/>
              </w:numPr>
            </w:pPr>
            <w:r>
              <w:t>Знайомство з патентним відділом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84942" w:rsidRDefault="00284942" w:rsidP="0028494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284942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vMerge/>
            <w:shd w:val="clear" w:color="auto" w:fill="auto"/>
          </w:tcPr>
          <w:p w:rsidR="00284942" w:rsidRPr="008A5B1B" w:rsidRDefault="00284942" w:rsidP="00284942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284942" w:rsidRDefault="00284942" w:rsidP="00284942">
            <w:pPr>
              <w:pStyle w:val="ad"/>
              <w:numPr>
                <w:ilvl w:val="0"/>
                <w:numId w:val="34"/>
              </w:numPr>
            </w:pPr>
            <w:r>
              <w:t>Класифікація автомобілів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84942" w:rsidRDefault="00284942" w:rsidP="0028494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284942" w:rsidTr="00D15FD7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690" w:type="pct"/>
            <w:vMerge/>
            <w:shd w:val="clear" w:color="auto" w:fill="auto"/>
          </w:tcPr>
          <w:p w:rsidR="00284942" w:rsidRPr="008A5B1B" w:rsidRDefault="00284942" w:rsidP="00284942">
            <w:pPr>
              <w:jc w:val="center"/>
            </w:pPr>
          </w:p>
        </w:tc>
        <w:tc>
          <w:tcPr>
            <w:tcW w:w="3522" w:type="pct"/>
            <w:shd w:val="clear" w:color="auto" w:fill="auto"/>
          </w:tcPr>
          <w:p w:rsidR="00284942" w:rsidRDefault="00284942" w:rsidP="00284942">
            <w:pPr>
              <w:pStyle w:val="ad"/>
              <w:numPr>
                <w:ilvl w:val="0"/>
                <w:numId w:val="34"/>
              </w:numPr>
            </w:pPr>
            <w:r>
              <w:t>Класифікація автотранспортних підприємств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84942" w:rsidRDefault="00284942" w:rsidP="00284942">
            <w:pPr>
              <w:jc w:val="center"/>
              <w:rPr>
                <w:color w:val="000000"/>
                <w:lang/>
              </w:rPr>
            </w:pPr>
            <w:r>
              <w:rPr>
                <w:color w:val="000000"/>
              </w:rPr>
              <w:t>2</w:t>
            </w:r>
          </w:p>
        </w:tc>
      </w:tr>
      <w:tr w:rsidR="00284942" w:rsidRPr="00E31962" w:rsidTr="00CA5735">
        <w:trPr>
          <w:trHeight w:val="124"/>
        </w:trPr>
        <w:tc>
          <w:tcPr>
            <w:tcW w:w="690" w:type="pct"/>
            <w:vMerge/>
          </w:tcPr>
          <w:p w:rsidR="00284942" w:rsidRPr="00E31962" w:rsidRDefault="00284942" w:rsidP="00284942">
            <w:pPr>
              <w:rPr>
                <w:color w:val="000000"/>
              </w:rPr>
            </w:pPr>
          </w:p>
        </w:tc>
        <w:tc>
          <w:tcPr>
            <w:tcW w:w="3522" w:type="pct"/>
            <w:shd w:val="clear" w:color="000000" w:fill="FFFFFF"/>
          </w:tcPr>
          <w:p w:rsidR="00284942" w:rsidRPr="00E31962" w:rsidRDefault="00284942" w:rsidP="00284942">
            <w:pPr>
              <w:rPr>
                <w:b/>
                <w:bCs/>
              </w:rPr>
            </w:pPr>
          </w:p>
        </w:tc>
        <w:tc>
          <w:tcPr>
            <w:tcW w:w="788" w:type="pct"/>
            <w:vAlign w:val="center"/>
          </w:tcPr>
          <w:p w:rsidR="00284942" w:rsidRDefault="00284942" w:rsidP="002849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</w:tbl>
    <w:p w:rsidR="00680664" w:rsidRDefault="00680664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3466449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8"/>
      <w:r>
        <w:rPr>
          <w:sz w:val="28"/>
          <w:szCs w:val="28"/>
        </w:rPr>
        <w:t>ОЦІНЮВАННЯ РЕЗУЛЬТАТІВ НАВЧАННЯ</w:t>
      </w:r>
      <w:bookmarkEnd w:id="12"/>
    </w:p>
    <w:p w:rsidR="00680664" w:rsidRPr="00C66A98" w:rsidRDefault="00680664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 w:rsidR="00B06427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 w:rsidR="00B06427"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680664" w:rsidRPr="00C66A98" w:rsidRDefault="00680664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компетентностей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680664" w:rsidRPr="008920E3" w:rsidRDefault="00680664" w:rsidP="00F43CA5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:rsidR="00680664" w:rsidRDefault="00680664" w:rsidP="0055326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8A5A8B" w:rsidRDefault="008A5A8B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680664" w:rsidRPr="00F74369" w:rsidRDefault="00680664" w:rsidP="008D05AC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lastRenderedPageBreak/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680664" w:rsidRPr="00984C5D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984C5D" w:rsidRDefault="00680664" w:rsidP="00274A9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0B57D9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680664" w:rsidRPr="001B2ED6" w:rsidTr="00274A9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1B2ED6" w:rsidRDefault="00680664" w:rsidP="00274A96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1B2ED6" w:rsidRDefault="00680664" w:rsidP="00274A96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680664" w:rsidRDefault="00680664" w:rsidP="0055326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680664" w:rsidRDefault="00680664" w:rsidP="00140448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>
        <w:rPr>
          <w:sz w:val="28"/>
          <w:szCs w:val="28"/>
        </w:rPr>
        <w:t>6.2 Засоби та процедури</w:t>
      </w:r>
      <w:bookmarkEnd w:id="14"/>
    </w:p>
    <w:p w:rsidR="00680664" w:rsidRDefault="00680664" w:rsidP="00F43CA5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 xml:space="preserve">ості студента за вимогами НРК до </w:t>
      </w:r>
      <w:r w:rsidR="0082044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680664" w:rsidRPr="00FF51AE" w:rsidRDefault="00680664" w:rsidP="004446AF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680664" w:rsidRDefault="00680664" w:rsidP="004A382A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680664" w:rsidRPr="009C2004" w:rsidRDefault="00680664" w:rsidP="009C2004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680664" w:rsidRPr="00984C5D" w:rsidTr="00B011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524D35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64" w:rsidRPr="00524D35" w:rsidRDefault="00680664" w:rsidP="00DE06D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680664" w:rsidRDefault="00680664" w:rsidP="009779FB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 w:rsidR="0082044C">
              <w:t>заліку</w:t>
            </w:r>
            <w:r w:rsidRPr="00EA6A44">
              <w:t xml:space="preserve"> за бажанням студента</w:t>
            </w: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680664" w:rsidRPr="00E85E50" w:rsidTr="00B011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680664" w:rsidRPr="00524D35" w:rsidRDefault="00680664" w:rsidP="009779FB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64" w:rsidRPr="002D0D9A" w:rsidRDefault="00680664" w:rsidP="009779FB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680664" w:rsidRPr="00865C0D" w:rsidRDefault="00680664" w:rsidP="001A087A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680664" w:rsidRPr="00865C0D" w:rsidRDefault="00680664" w:rsidP="001A087A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6"/>
    <w:p w:rsidR="00680664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680664" w:rsidRPr="000512EA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680664" w:rsidRPr="00865C0D" w:rsidRDefault="00680664" w:rsidP="001A0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680664" w:rsidRDefault="00680664" w:rsidP="004A382A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680664" w:rsidRPr="00964881" w:rsidRDefault="00680664" w:rsidP="0096488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8"/>
    </w:p>
    <w:p w:rsidR="00680664" w:rsidRPr="0032312C" w:rsidRDefault="00680664" w:rsidP="0032312C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680664" w:rsidRPr="00810D0F" w:rsidRDefault="00680664" w:rsidP="0023500E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680664" w:rsidRPr="00810D0F" w:rsidRDefault="00680664" w:rsidP="0023500E">
      <w:pPr>
        <w:spacing w:before="120" w:after="120"/>
        <w:jc w:val="center"/>
        <w:rPr>
          <w:bCs/>
          <w:kern w:val="28"/>
          <w:sz w:val="28"/>
          <w:szCs w:val="28"/>
        </w:rPr>
      </w:pPr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680664" w:rsidRPr="00C078CC" w:rsidRDefault="00680664" w:rsidP="0023500E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680664" w:rsidRDefault="00680664" w:rsidP="0023500E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>до рівня компетентностей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680664" w:rsidRDefault="00680664" w:rsidP="00275199">
      <w:pPr>
        <w:pStyle w:val="Default"/>
        <w:spacing w:before="120" w:after="120"/>
        <w:ind w:firstLine="567"/>
        <w:jc w:val="both"/>
        <w:rPr>
          <w:b/>
          <w:i/>
        </w:rPr>
      </w:pPr>
      <w:r w:rsidRPr="00C66A98">
        <w:rPr>
          <w:bCs/>
          <w:sz w:val="28"/>
          <w:szCs w:val="28"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82044C">
        <w:rPr>
          <w:bCs/>
          <w:sz w:val="28"/>
          <w:szCs w:val="28"/>
          <w:lang w:val="uk-UA"/>
        </w:rPr>
        <w:t>бакалаврського</w:t>
      </w:r>
      <w:r w:rsidRPr="00C66A98">
        <w:rPr>
          <w:bCs/>
          <w:sz w:val="28"/>
          <w:szCs w:val="28"/>
          <w:lang w:val="uk-UA"/>
        </w:rPr>
        <w:t xml:space="preserve"> рівня вищої освіти </w:t>
      </w:r>
      <w:r w:rsidRPr="00C66A98">
        <w:rPr>
          <w:sz w:val="28"/>
          <w:szCs w:val="28"/>
          <w:lang w:val="uk-UA"/>
        </w:rPr>
        <w:t>(подано нижче).</w:t>
      </w:r>
    </w:p>
    <w:p w:rsidR="008A5A8B" w:rsidRDefault="008A5A8B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:rsidR="00680664" w:rsidRDefault="00680664" w:rsidP="001C121E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lastRenderedPageBreak/>
        <w:t xml:space="preserve">Загальні критерії досягнення результатів навчання </w:t>
      </w:r>
    </w:p>
    <w:p w:rsidR="00680664" w:rsidRDefault="00680664" w:rsidP="001B2ED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</w:rPr>
      </w:pPr>
      <w:r w:rsidRPr="001A6E5D">
        <w:rPr>
          <w:b/>
          <w:i/>
          <w:color w:val="000000"/>
        </w:rPr>
        <w:t xml:space="preserve">для </w:t>
      </w:r>
      <w:r w:rsidR="0082044C">
        <w:rPr>
          <w:b/>
          <w:i/>
          <w:color w:val="000000"/>
        </w:rPr>
        <w:t>6</w:t>
      </w:r>
      <w:r w:rsidRPr="001A6E5D">
        <w:rPr>
          <w:b/>
          <w:i/>
          <w:color w:val="000000"/>
        </w:rPr>
        <w:t>-го кваліфікаційного рівня за НРК</w:t>
      </w:r>
    </w:p>
    <w:p w:rsidR="006A47EA" w:rsidRDefault="006A47EA" w:rsidP="006A47EA">
      <w:pPr>
        <w:widowControl w:val="0"/>
        <w:suppressLineNumbers/>
        <w:suppressAutoHyphens/>
        <w:ind w:firstLine="567"/>
        <w:jc w:val="both"/>
      </w:pPr>
      <w:r w:rsidRPr="00AA0B81">
        <w:rPr>
          <w:b/>
        </w:rPr>
        <w:t>Інтегральна компетентність</w:t>
      </w:r>
      <w: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6A47EA" w:rsidRPr="001A6E5D" w:rsidRDefault="006A47EA" w:rsidP="006A47EA">
      <w:pPr>
        <w:widowControl w:val="0"/>
        <w:suppressLineNumbers/>
        <w:suppressAutoHyphens/>
        <w:ind w:firstLine="567"/>
        <w:jc w:val="both"/>
        <w:rPr>
          <w:color w:val="000000"/>
        </w:rPr>
      </w:pPr>
    </w:p>
    <w:tbl>
      <w:tblPr>
        <w:tblStyle w:val="TableGrid"/>
        <w:tblW w:w="9859" w:type="dxa"/>
        <w:tblInd w:w="-108" w:type="dxa"/>
        <w:tblCellMar>
          <w:top w:w="6" w:type="dxa"/>
          <w:left w:w="97" w:type="dxa"/>
          <w:right w:w="47" w:type="dxa"/>
        </w:tblCellMar>
        <w:tblLook w:val="04A0" w:firstRow="1" w:lastRow="0" w:firstColumn="1" w:lastColumn="0" w:noHBand="0" w:noVBand="1"/>
      </w:tblPr>
      <w:tblGrid>
        <w:gridCol w:w="2452"/>
        <w:gridCol w:w="5964"/>
        <w:gridCol w:w="1443"/>
      </w:tblGrid>
      <w:tr w:rsidR="006A47EA" w:rsidRPr="00AA0B81" w:rsidTr="00651E6D">
        <w:trPr>
          <w:trHeight w:val="5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right="128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5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651E6D">
            <w:pPr>
              <w:spacing w:line="259" w:lineRule="auto"/>
              <w:ind w:left="1415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>Знання</w:t>
            </w:r>
            <w:r w:rsidRPr="00AA0B81">
              <w:rPr>
                <w:rFonts w:eastAsia="Arial"/>
                <w:b/>
                <w:sz w:val="22"/>
              </w:rPr>
              <w:t xml:space="preserve"> 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1649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концептуальні </w:t>
            </w:r>
          </w:p>
          <w:p w:rsidR="006A47EA" w:rsidRPr="00AA0B81" w:rsidRDefault="006A47EA" w:rsidP="00651E6D">
            <w:pPr>
              <w:spacing w:line="257" w:lineRule="auto"/>
              <w:ind w:left="11"/>
            </w:pPr>
            <w:r w:rsidRPr="00AA0B81">
              <w:rPr>
                <w:rFonts w:eastAsia="Arial"/>
                <w:sz w:val="22"/>
              </w:rPr>
              <w:t>знання, набуті у процесі навчання та професійної діяльності, включаючи певні знання сучасних досягнень;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651E6D">
            <w:pPr>
              <w:numPr>
                <w:ilvl w:val="0"/>
                <w:numId w:val="25"/>
              </w:numPr>
              <w:spacing w:line="259" w:lineRule="auto"/>
              <w:ind w:hanging="204"/>
            </w:pPr>
            <w:r w:rsidRPr="00AA0B81">
              <w:rPr>
                <w:rFonts w:eastAsia="Arial"/>
                <w:sz w:val="22"/>
              </w:rPr>
              <w:t xml:space="preserve">критичне </w:t>
            </w:r>
          </w:p>
          <w:p w:rsidR="006A47EA" w:rsidRPr="00AA0B81" w:rsidRDefault="006A47EA" w:rsidP="00651E6D">
            <w:pPr>
              <w:spacing w:line="259" w:lineRule="auto"/>
              <w:ind w:left="11"/>
            </w:pPr>
            <w:r w:rsidRPr="00AA0B81">
              <w:rPr>
                <w:rFonts w:eastAsia="Arial"/>
                <w:sz w:val="22"/>
              </w:rPr>
              <w:t>осмислення основних теорій, принципів, методів і понять у навчанні та професійній діяльності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3" w:line="288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відмінна – правильна, обґрунтована, осмислена. Характеризує наявність: </w:t>
            </w:r>
          </w:p>
          <w:p w:rsidR="006A47EA" w:rsidRPr="00AA0B81" w:rsidRDefault="006A47EA" w:rsidP="00651E6D">
            <w:pPr>
              <w:numPr>
                <w:ilvl w:val="0"/>
                <w:numId w:val="26"/>
              </w:numPr>
              <w:spacing w:after="28"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концептуальних знань; </w:t>
            </w:r>
          </w:p>
          <w:p w:rsidR="006A47EA" w:rsidRPr="00AA0B81" w:rsidRDefault="006A47EA" w:rsidP="00651E6D">
            <w:pPr>
              <w:numPr>
                <w:ilvl w:val="0"/>
                <w:numId w:val="26"/>
              </w:numPr>
              <w:spacing w:line="259" w:lineRule="auto"/>
              <w:ind w:right="107"/>
            </w:pPr>
            <w:r w:rsidRPr="00AA0B81">
              <w:rPr>
                <w:rFonts w:eastAsia="Arial"/>
                <w:sz w:val="22"/>
              </w:rPr>
              <w:t xml:space="preserve">високого ступеню володіння станом 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критичного осмислення основних теорій, принципів, методів і понять у навчанні та професійній діяльності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містить негрубі помилки або описки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 й недостатньо обґрунтована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651E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правильна, але має певні неточності, недостатньо обґрунтована та осмислена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фрагментарна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651E6D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Відповідь демонструє нечіткі уявлення студента про об'єкт вивчення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мінімально 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2"/>
            </w:pPr>
            <w:r w:rsidRPr="00AA0B81">
              <w:rPr>
                <w:rFonts w:eastAsia="Arial"/>
                <w:sz w:val="22"/>
              </w:rPr>
              <w:t xml:space="preserve">Рівень знань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651E6D">
        <w:trPr>
          <w:trHeight w:val="276"/>
        </w:trPr>
        <w:tc>
          <w:tcPr>
            <w:tcW w:w="8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EA" w:rsidRPr="00AA0B81" w:rsidRDefault="006A47EA" w:rsidP="00651E6D">
            <w:pPr>
              <w:spacing w:line="259" w:lineRule="auto"/>
              <w:ind w:left="1416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Уміння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248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11" w:right="84"/>
            </w:pPr>
            <w:r w:rsidRPr="00AA0B81">
              <w:rPr>
                <w:rFonts w:eastAsia="Arial"/>
                <w:sz w:val="22"/>
              </w:rPr>
              <w:t xml:space="preserve">розв'язання складних непередбачуваних задач і проблем у спеціалізованих сферах професійної діяльності та/або навчання, що передбачає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43" w:line="259" w:lineRule="auto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уміння: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25" w:line="259" w:lineRule="auto"/>
            </w:pPr>
            <w:r w:rsidRPr="00AA0B81">
              <w:rPr>
                <w:rFonts w:eastAsia="Arial"/>
                <w:sz w:val="22"/>
              </w:rPr>
              <w:t xml:space="preserve">виявляти проблеми;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формулювати гіпотези;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розв'язувати проблеми;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17" w:line="286" w:lineRule="auto"/>
            </w:pPr>
            <w:r w:rsidRPr="00AA0B81">
              <w:rPr>
                <w:rFonts w:eastAsia="Arial"/>
                <w:sz w:val="22"/>
              </w:rPr>
              <w:t xml:space="preserve">обирати адекватні методи та інструментальні засоби;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after="18" w:line="285" w:lineRule="auto"/>
            </w:pPr>
            <w:r w:rsidRPr="00AA0B81">
              <w:rPr>
                <w:rFonts w:eastAsia="Arial"/>
                <w:sz w:val="22"/>
              </w:rPr>
              <w:t xml:space="preserve">збирати та логічно й зрозуміло інтерпретувати інформацію; </w:t>
            </w:r>
          </w:p>
          <w:p w:rsidR="006A47EA" w:rsidRPr="00AA0B81" w:rsidRDefault="006A47EA" w:rsidP="00651E6D">
            <w:pPr>
              <w:numPr>
                <w:ilvl w:val="0"/>
                <w:numId w:val="27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використовувати інноваційні підходи до розв’язання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51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6" w:type="dxa"/>
          <w:left w:w="65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5996"/>
        <w:gridCol w:w="1443"/>
      </w:tblGrid>
      <w:tr w:rsidR="006A47EA" w:rsidRPr="00AA0B81" w:rsidTr="00651E6D">
        <w:trPr>
          <w:trHeight w:val="5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right="80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55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83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276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1" w:lineRule="auto"/>
              <w:ind w:left="43"/>
            </w:pPr>
            <w:r w:rsidRPr="00AA0B81">
              <w:rPr>
                <w:rFonts w:eastAsia="Arial"/>
                <w:sz w:val="22"/>
              </w:rPr>
              <w:t xml:space="preserve">збирання та інтерпретацію інформації (даних), вибір методів та інструментальних </w:t>
            </w:r>
          </w:p>
          <w:p w:rsidR="006A47EA" w:rsidRPr="00AA0B81" w:rsidRDefault="006A47EA" w:rsidP="00651E6D">
            <w:pPr>
              <w:spacing w:line="259" w:lineRule="auto"/>
              <w:ind w:left="43" w:right="60"/>
            </w:pPr>
            <w:r w:rsidRPr="00AA0B81">
              <w:rPr>
                <w:rFonts w:eastAsia="Arial"/>
                <w:sz w:val="22"/>
              </w:rPr>
              <w:t>засобів, застосування інноваційних підходів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завдання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з не грубими помилками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двох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651E6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трьох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8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чотирьох вимог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651E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уміння застосовувати знання в практичній діяльності при виконанні завдань за зразком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65-69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Відповідь характеризує застосовувати знання при виконанні завдань за зразком, але з неточностями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рівень умінь незадовільний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651E6D">
        <w:trPr>
          <w:trHeight w:val="27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1"/>
              <w:jc w:val="center"/>
            </w:pPr>
            <w:r>
              <w:br w:type="page"/>
            </w:r>
            <w:r w:rsidRPr="00AA0B81">
              <w:rPr>
                <w:rFonts w:eastAsia="Arial"/>
                <w:b/>
                <w:i/>
                <w:sz w:val="22"/>
              </w:rPr>
              <w:t xml:space="preserve">Комунікація </w:t>
            </w:r>
          </w:p>
        </w:tc>
      </w:tr>
      <w:tr w:rsidR="006A47EA" w:rsidRPr="00AA0B81" w:rsidTr="00651E6D">
        <w:trPr>
          <w:trHeight w:val="5264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43"/>
            </w:pPr>
            <w:r w:rsidRPr="00AA0B81">
              <w:rPr>
                <w:noProof/>
                <w:lang w:val="ru-RU"/>
              </w:rPr>
              <w:drawing>
                <wp:inline distT="0" distB="0" distL="0" distR="0" wp14:anchorId="0AFEB218" wp14:editId="6802EB7A">
                  <wp:extent cx="152400" cy="124968"/>
                  <wp:effectExtent l="0" t="0" r="0" b="0"/>
                  <wp:docPr id="2341" name="Picture 2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1" name="Picture 2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донесення до </w:t>
            </w:r>
          </w:p>
          <w:p w:rsidR="006A47EA" w:rsidRPr="00AA0B81" w:rsidRDefault="006A47EA" w:rsidP="00651E6D">
            <w:pPr>
              <w:spacing w:line="257" w:lineRule="auto"/>
              <w:ind w:left="43" w:right="94"/>
            </w:pPr>
            <w:r w:rsidRPr="00AA0B81">
              <w:rPr>
                <w:rFonts w:eastAsia="Arial"/>
                <w:sz w:val="22"/>
              </w:rPr>
              <w:t xml:space="preserve">фахівців і нефахівців інформації, ідей, проблем, рішень та власного досвіду в галузі професійної діяльності; </w:t>
            </w:r>
            <w:r w:rsidRPr="00AA0B81">
              <w:rPr>
                <w:noProof/>
                <w:lang w:val="ru-RU"/>
              </w:rPr>
              <w:drawing>
                <wp:inline distT="0" distB="0" distL="0" distR="0" wp14:anchorId="5310A054" wp14:editId="3FE39DC4">
                  <wp:extent cx="152400" cy="124968"/>
                  <wp:effectExtent l="0" t="0" r="0" b="0"/>
                  <wp:docPr id="2352" name="Picture 2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81">
              <w:rPr>
                <w:rFonts w:eastAsia="Arial"/>
                <w:sz w:val="16"/>
              </w:rPr>
              <w:t xml:space="preserve"> </w:t>
            </w:r>
            <w:r w:rsidRPr="00AA0B81">
              <w:rPr>
                <w:rFonts w:eastAsia="Arial"/>
                <w:sz w:val="22"/>
              </w:rPr>
              <w:t xml:space="preserve">здатність </w:t>
            </w:r>
          </w:p>
          <w:p w:rsidR="006A47EA" w:rsidRPr="00AA0B81" w:rsidRDefault="006A47EA" w:rsidP="00651E6D">
            <w:pPr>
              <w:spacing w:line="259" w:lineRule="auto"/>
              <w:ind w:left="43"/>
            </w:pPr>
            <w:r w:rsidRPr="00AA0B81">
              <w:rPr>
                <w:rFonts w:eastAsia="Arial"/>
                <w:sz w:val="22"/>
              </w:rPr>
              <w:t>ефективно формувати комунікаційну стратегію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31" w:line="259" w:lineRule="auto"/>
            </w:pPr>
            <w:r w:rsidRPr="00AA0B81">
              <w:rPr>
                <w:rFonts w:eastAsia="Arial"/>
                <w:sz w:val="22"/>
              </w:rPr>
              <w:t xml:space="preserve">Вільне володіння проблематикою галузі. </w:t>
            </w:r>
          </w:p>
          <w:p w:rsidR="006A47EA" w:rsidRPr="00AA0B81" w:rsidRDefault="006A47EA" w:rsidP="00651E6D">
            <w:pPr>
              <w:spacing w:after="39" w:line="259" w:lineRule="auto"/>
            </w:pPr>
            <w:r w:rsidRPr="00AA0B81">
              <w:rPr>
                <w:rFonts w:eastAsia="Arial"/>
                <w:sz w:val="22"/>
              </w:rPr>
              <w:t xml:space="preserve">Зрозумілість відповіді (доповіді). Мова: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чиста;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3" w:line="259" w:lineRule="auto"/>
            </w:pPr>
            <w:r w:rsidRPr="00AA0B81">
              <w:rPr>
                <w:rFonts w:eastAsia="Arial"/>
                <w:sz w:val="22"/>
              </w:rPr>
              <w:t xml:space="preserve">ясна;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4" w:line="259" w:lineRule="auto"/>
            </w:pPr>
            <w:r w:rsidRPr="00AA0B81">
              <w:rPr>
                <w:rFonts w:eastAsia="Arial"/>
                <w:sz w:val="22"/>
              </w:rPr>
              <w:t xml:space="preserve">точна;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line="281" w:lineRule="auto"/>
            </w:pPr>
            <w:r w:rsidRPr="00AA0B81">
              <w:rPr>
                <w:rFonts w:eastAsia="Arial"/>
                <w:sz w:val="22"/>
              </w:rPr>
              <w:t xml:space="preserve">логічна;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виразна;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14" w:line="259" w:lineRule="auto"/>
            </w:pPr>
            <w:r w:rsidRPr="00AA0B81">
              <w:rPr>
                <w:rFonts w:eastAsia="Arial"/>
                <w:sz w:val="22"/>
              </w:rPr>
              <w:t xml:space="preserve">лаконічна. </w:t>
            </w:r>
          </w:p>
          <w:p w:rsidR="006A47EA" w:rsidRPr="00AA0B81" w:rsidRDefault="006A47EA" w:rsidP="00651E6D">
            <w:pPr>
              <w:spacing w:after="45" w:line="259" w:lineRule="auto"/>
            </w:pPr>
            <w:r w:rsidRPr="00AA0B81">
              <w:rPr>
                <w:rFonts w:eastAsia="Arial"/>
                <w:sz w:val="22"/>
              </w:rPr>
              <w:t xml:space="preserve">Комунікаційна стратегія: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послідовний і несуперечливий розвиток думки;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наявність логічних власних суджень;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12" w:line="287" w:lineRule="auto"/>
            </w:pPr>
            <w:r w:rsidRPr="00AA0B81">
              <w:rPr>
                <w:rFonts w:eastAsia="Arial"/>
                <w:sz w:val="22"/>
              </w:rPr>
              <w:t xml:space="preserve">доречна аргументації та її відповідність відстоюваним положенням;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правильна структура відповіді (доповіді);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правильність відповідей на запитання; </w:t>
            </w:r>
          </w:p>
          <w:p w:rsidR="006A47EA" w:rsidRPr="00AA0B81" w:rsidRDefault="006A47EA" w:rsidP="00651E6D">
            <w:pPr>
              <w:numPr>
                <w:ilvl w:val="0"/>
                <w:numId w:val="28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техніка відповідей на запитання;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здатність робити висновки та формулювати пропозиції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651E6D">
        <w:trPr>
          <w:trHeight w:val="1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84" w:lineRule="auto"/>
            </w:pPr>
            <w:r w:rsidRPr="00AA0B81">
              <w:rPr>
                <w:rFonts w:eastAsia="Arial"/>
                <w:sz w:val="22"/>
              </w:rPr>
              <w:t xml:space="preserve">Достатнє володіння проблематикою галузі з незначними хибами. </w:t>
            </w:r>
          </w:p>
          <w:p w:rsidR="006A47EA" w:rsidRPr="00AA0B81" w:rsidRDefault="006A47EA" w:rsidP="00651E6D">
            <w:pPr>
              <w:spacing w:after="3" w:line="284" w:lineRule="auto"/>
            </w:pPr>
            <w:r w:rsidRPr="00AA0B81">
              <w:rPr>
                <w:rFonts w:eastAsia="Arial"/>
                <w:sz w:val="22"/>
              </w:rPr>
              <w:t xml:space="preserve">Достатня зрозумілість відповіді (доповіді) з незначними хибами. </w:t>
            </w:r>
          </w:p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Доречна комунікаційна стратегія з незначними хибами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три вимоги)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</w:tbl>
    <w:p w:rsidR="006A47EA" w:rsidRPr="00AA0B81" w:rsidRDefault="006A47EA" w:rsidP="006A47EA">
      <w:pPr>
        <w:spacing w:line="259" w:lineRule="auto"/>
        <w:ind w:left="-1416" w:right="11061"/>
      </w:pPr>
    </w:p>
    <w:tbl>
      <w:tblPr>
        <w:tblStyle w:val="TableGrid"/>
        <w:tblW w:w="9859" w:type="dxa"/>
        <w:tblInd w:w="-108" w:type="dxa"/>
        <w:tblCellMar>
          <w:top w:w="5" w:type="dxa"/>
          <w:left w:w="50" w:type="dxa"/>
          <w:right w:w="26" w:type="dxa"/>
        </w:tblCellMar>
        <w:tblLook w:val="04A0" w:firstRow="1" w:lastRow="0" w:firstColumn="1" w:lastColumn="0" w:noHBand="0" w:noVBand="1"/>
      </w:tblPr>
      <w:tblGrid>
        <w:gridCol w:w="2369"/>
        <w:gridCol w:w="94"/>
        <w:gridCol w:w="5961"/>
        <w:gridCol w:w="1435"/>
      </w:tblGrid>
      <w:tr w:rsidR="006A47EA" w:rsidRPr="00AA0B81" w:rsidTr="00651E6D">
        <w:trPr>
          <w:trHeight w:val="543"/>
        </w:trPr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left="164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6" w:right="9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89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комунікаційна стратегія (сумарно не реалізовано чотири вимоги)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</w:tr>
      <w:tr w:rsidR="006A47EA" w:rsidRPr="00AA0B81" w:rsidTr="00651E6D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Добра зрозумілість відповіді (доповіді) та доречна комунікаційна стратегія (сумарно не реалізовано п’ять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31" w:line="259" w:lineRule="auto"/>
              <w:ind w:left="65"/>
            </w:pPr>
            <w:r w:rsidRPr="00AA0B81">
              <w:rPr>
                <w:rFonts w:eastAsia="Arial"/>
                <w:sz w:val="22"/>
              </w:rPr>
              <w:t xml:space="preserve">Задовільне володіння проблематикою галузі. </w:t>
            </w:r>
          </w:p>
          <w:p w:rsidR="006A47EA" w:rsidRPr="00AA0B81" w:rsidRDefault="006A47EA" w:rsidP="00651E6D">
            <w:pPr>
              <w:spacing w:line="259" w:lineRule="auto"/>
              <w:ind w:left="65" w:right="226"/>
            </w:pPr>
            <w:r w:rsidRPr="00AA0B81">
              <w:rPr>
                <w:rFonts w:eastAsia="Arial"/>
                <w:sz w:val="22"/>
              </w:rPr>
              <w:t xml:space="preserve">Задовільна зрозумілість відповіді (доповіді) та доречна комунікаційна стратегія (сумарно 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70-73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651E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 w:right="241"/>
            </w:pPr>
            <w:r w:rsidRPr="00AA0B81">
              <w:rPr>
                <w:rFonts w:eastAsia="Arial"/>
                <w:sz w:val="22"/>
              </w:rPr>
              <w:t xml:space="preserve"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65-69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651E6D">
        <w:trPr>
          <w:trHeight w:val="1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Фрагментарне володіння проблематикою галузі.</w:t>
            </w:r>
            <w:r w:rsidRPr="00AA0B81">
              <w:rPr>
                <w:rFonts w:eastAsia="Arial"/>
                <w:sz w:val="21"/>
              </w:rPr>
              <w:t xml:space="preserve"> </w:t>
            </w:r>
            <w:r w:rsidRPr="00AA0B81">
              <w:rPr>
                <w:rFonts w:eastAsia="Arial"/>
                <w:sz w:val="22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>60-64</w:t>
            </w:r>
            <w:r w:rsidRPr="00AA0B81">
              <w:rPr>
                <w:rFonts w:eastAsia="Arial"/>
                <w:sz w:val="22"/>
              </w:rPr>
              <w:t xml:space="preserve">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65"/>
            </w:pPr>
            <w:r w:rsidRPr="00AA0B81">
              <w:rPr>
                <w:rFonts w:eastAsia="Arial"/>
                <w:sz w:val="22"/>
              </w:rPr>
              <w:t>Рівень комунікації незадовільний</w:t>
            </w:r>
            <w:r w:rsidRPr="00AA0B81">
              <w:rPr>
                <w:rFonts w:eastAsia="Arial"/>
                <w:sz w:val="2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  <w:tr w:rsidR="006A47EA" w:rsidRPr="00AA0B81" w:rsidTr="00651E6D">
        <w:trPr>
          <w:trHeight w:val="276"/>
        </w:trPr>
        <w:tc>
          <w:tcPr>
            <w:tcW w:w="9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4"/>
              <w:jc w:val="center"/>
            </w:pPr>
            <w:r w:rsidRPr="00AA0B81">
              <w:rPr>
                <w:rFonts w:eastAsia="Arial"/>
                <w:b/>
                <w:i/>
                <w:sz w:val="22"/>
              </w:rPr>
              <w:t xml:space="preserve">Автономність та відповідальність </w:t>
            </w:r>
          </w:p>
        </w:tc>
      </w:tr>
      <w:tr w:rsidR="006A47EA" w:rsidRPr="00AA0B81" w:rsidTr="00651E6D">
        <w:trPr>
          <w:trHeight w:val="7921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управління </w:t>
            </w:r>
          </w:p>
          <w:p w:rsidR="006A47EA" w:rsidRPr="00AA0B81" w:rsidRDefault="006A47EA" w:rsidP="00651E6D">
            <w:pPr>
              <w:spacing w:line="258" w:lineRule="auto"/>
              <w:ind w:left="58"/>
            </w:pPr>
            <w:r w:rsidRPr="00AA0B81">
              <w:rPr>
                <w:rFonts w:eastAsia="Arial"/>
                <w:sz w:val="22"/>
              </w:rPr>
              <w:t xml:space="preserve">комплексними діями або проектами, відповідальність за прийняття рішень у непередбачуваних умовах; </w:t>
            </w:r>
          </w:p>
          <w:p w:rsidR="006A47EA" w:rsidRPr="00AA0B81" w:rsidRDefault="006A47EA" w:rsidP="00651E6D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відповідальність </w:t>
            </w:r>
          </w:p>
          <w:p w:rsidR="006A47EA" w:rsidRPr="00AA0B81" w:rsidRDefault="006A47EA" w:rsidP="00651E6D">
            <w:pPr>
              <w:spacing w:line="270" w:lineRule="auto"/>
            </w:pPr>
            <w:r w:rsidRPr="00AA0B81">
              <w:rPr>
                <w:rFonts w:eastAsia="Arial"/>
                <w:sz w:val="22"/>
              </w:rPr>
              <w:t>за професійний розвиток окремих осіб та/або груп осіб;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  <w:p w:rsidR="006A47EA" w:rsidRPr="00AA0B81" w:rsidRDefault="006A47EA" w:rsidP="00651E6D">
            <w:pPr>
              <w:numPr>
                <w:ilvl w:val="0"/>
                <w:numId w:val="29"/>
              </w:numPr>
              <w:spacing w:line="259" w:lineRule="auto"/>
              <w:ind w:hanging="276"/>
            </w:pPr>
            <w:r w:rsidRPr="00AA0B81">
              <w:rPr>
                <w:rFonts w:eastAsia="Arial"/>
                <w:sz w:val="22"/>
              </w:rPr>
              <w:t xml:space="preserve">здатність до </w:t>
            </w:r>
          </w:p>
          <w:p w:rsidR="006A47EA" w:rsidRPr="00AA0B81" w:rsidRDefault="006A47EA" w:rsidP="00651E6D">
            <w:pPr>
              <w:spacing w:line="259" w:lineRule="auto"/>
              <w:ind w:right="5"/>
            </w:pPr>
            <w:r w:rsidRPr="00AA0B81">
              <w:rPr>
                <w:rFonts w:eastAsia="Arial"/>
                <w:sz w:val="22"/>
              </w:rPr>
              <w:t>подальшого навчання з високим рівнем автономності</w:t>
            </w:r>
            <w:r w:rsidRPr="00AA0B81">
              <w:rPr>
                <w:rFonts w:eastAsia="Arial"/>
                <w:b/>
                <w:i/>
                <w:sz w:val="22"/>
              </w:rPr>
              <w:t xml:space="preserve"> </w:t>
            </w: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" w:line="286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Відмінне володіння компетенціями менеджменту особистості, орієнтованих на: </w:t>
            </w:r>
          </w:p>
          <w:p w:rsidR="006A47EA" w:rsidRPr="00AA0B81" w:rsidRDefault="006A47EA" w:rsidP="00651E6D">
            <w:pPr>
              <w:spacing w:after="34" w:line="26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1) управління комплексними проектами, що передбачає: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:rsidR="006A47EA" w:rsidRPr="00AA0B81" w:rsidRDefault="006A47EA" w:rsidP="00651E6D">
            <w:pPr>
              <w:numPr>
                <w:ilvl w:val="0"/>
                <w:numId w:val="30"/>
              </w:numPr>
              <w:spacing w:after="27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здатність до роботи в команді; </w:t>
            </w:r>
          </w:p>
          <w:p w:rsidR="006A47EA" w:rsidRPr="00AA0B81" w:rsidRDefault="006A47EA" w:rsidP="00651E6D">
            <w:pPr>
              <w:numPr>
                <w:ilvl w:val="0"/>
                <w:numId w:val="30"/>
              </w:numPr>
              <w:spacing w:after="11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контроль власних дій; </w:t>
            </w:r>
          </w:p>
          <w:p w:rsidR="006A47EA" w:rsidRPr="00AA0B81" w:rsidRDefault="006A47EA" w:rsidP="00651E6D">
            <w:pPr>
              <w:spacing w:after="13" w:line="287" w:lineRule="auto"/>
              <w:ind w:left="50" w:right="669"/>
            </w:pPr>
            <w:r w:rsidRPr="00AA0B81">
              <w:rPr>
                <w:rFonts w:eastAsia="Arial"/>
                <w:sz w:val="22"/>
              </w:rPr>
              <w:t xml:space="preserve">2) відповідальність за прийняття рішень в непередбачуваних умовах, що включає: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обґрунтування власних рішень положеннями нормативної бази галузевого та державного рівнів; </w:t>
            </w:r>
          </w:p>
          <w:p w:rsidR="006A47EA" w:rsidRPr="00AA0B81" w:rsidRDefault="006A47EA" w:rsidP="00651E6D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самостійність під час виконання поставлених завдань; </w:t>
            </w:r>
          </w:p>
          <w:p w:rsidR="006A47EA" w:rsidRPr="00AA0B81" w:rsidRDefault="006A47EA" w:rsidP="00651E6D">
            <w:pPr>
              <w:numPr>
                <w:ilvl w:val="0"/>
                <w:numId w:val="31"/>
              </w:numPr>
              <w:spacing w:after="28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ініціативу в обговоренні проблем; </w:t>
            </w:r>
          </w:p>
          <w:p w:rsidR="006A47EA" w:rsidRPr="00AA0B81" w:rsidRDefault="006A47EA" w:rsidP="00651E6D">
            <w:pPr>
              <w:numPr>
                <w:ilvl w:val="0"/>
                <w:numId w:val="31"/>
              </w:numPr>
              <w:spacing w:after="14" w:line="259" w:lineRule="auto"/>
              <w:ind w:hanging="257"/>
            </w:pPr>
            <w:r w:rsidRPr="00AA0B81">
              <w:rPr>
                <w:rFonts w:eastAsia="Arial"/>
                <w:sz w:val="22"/>
              </w:rPr>
              <w:t xml:space="preserve">відповідальність за взаємовідносини; </w:t>
            </w:r>
          </w:p>
          <w:p w:rsidR="006A47EA" w:rsidRPr="00AA0B81" w:rsidRDefault="006A47EA" w:rsidP="00651E6D">
            <w:pPr>
              <w:spacing w:after="10" w:line="289" w:lineRule="auto"/>
              <w:ind w:left="50"/>
            </w:pPr>
            <w:r w:rsidRPr="00AA0B81">
              <w:rPr>
                <w:rFonts w:eastAsia="Arial"/>
                <w:sz w:val="22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використання професійно-орієнтовних навичок;  </w:t>
            </w:r>
            <w:r w:rsidRPr="00AA0B81">
              <w:rPr>
                <w:rFonts w:eastAsia="Verdana"/>
                <w:sz w:val="22"/>
              </w:rPr>
              <w:t>-</w:t>
            </w:r>
            <w:r w:rsidRPr="00AA0B81">
              <w:rPr>
                <w:rFonts w:eastAsia="Arial"/>
                <w:sz w:val="22"/>
              </w:rPr>
              <w:t xml:space="preserve"> використання доказів із самостійною і правильною аргументацією;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16" w:line="286" w:lineRule="auto"/>
            </w:pPr>
            <w:r w:rsidRPr="00AA0B81">
              <w:rPr>
                <w:rFonts w:eastAsia="Arial"/>
                <w:sz w:val="22"/>
              </w:rPr>
              <w:t xml:space="preserve">володіння всіма видами навчальної діяльності; 4) здатність до подальшого навчання з високим рівнем автономності, що передбачає: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28" w:line="259" w:lineRule="auto"/>
            </w:pPr>
            <w:r w:rsidRPr="00AA0B81">
              <w:rPr>
                <w:rFonts w:eastAsia="Arial"/>
                <w:sz w:val="22"/>
              </w:rPr>
              <w:t xml:space="preserve">ступінь володіння фундаментальними знаннями; 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29" w:line="259" w:lineRule="auto"/>
            </w:pPr>
            <w:r w:rsidRPr="00AA0B81">
              <w:rPr>
                <w:rFonts w:eastAsia="Arial"/>
                <w:sz w:val="22"/>
              </w:rPr>
              <w:t xml:space="preserve">самостійність оцінних суджень;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after="17" w:line="285" w:lineRule="auto"/>
            </w:pPr>
            <w:r w:rsidRPr="00AA0B81">
              <w:rPr>
                <w:rFonts w:eastAsia="Arial"/>
                <w:sz w:val="22"/>
              </w:rPr>
              <w:t xml:space="preserve">високий рівень сформованості загальнонавчальних умінь і навичок; </w:t>
            </w:r>
          </w:p>
          <w:p w:rsidR="006A47EA" w:rsidRPr="00AA0B81" w:rsidRDefault="006A47EA" w:rsidP="00651E6D">
            <w:pPr>
              <w:numPr>
                <w:ilvl w:val="0"/>
                <w:numId w:val="32"/>
              </w:num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самостійний пошук та аналіз  джерел інформації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95-100 </w:t>
            </w:r>
          </w:p>
        </w:tc>
      </w:tr>
      <w:tr w:rsidR="006A47EA" w:rsidRPr="00AA0B81" w:rsidTr="00651E6D">
        <w:trPr>
          <w:trHeight w:val="5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50"/>
            </w:pPr>
            <w:r w:rsidRPr="00AA0B81">
              <w:rPr>
                <w:rFonts w:eastAsia="Arial"/>
                <w:sz w:val="22"/>
              </w:rPr>
              <w:t>Упевнене володіння компетенціями менеджменту особистості (не реалізовано дві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17"/>
              <w:jc w:val="center"/>
            </w:pPr>
            <w:r w:rsidRPr="00AA0B81">
              <w:rPr>
                <w:rFonts w:eastAsia="Arial"/>
                <w:sz w:val="21"/>
              </w:rPr>
              <w:t xml:space="preserve">90-94 </w:t>
            </w:r>
          </w:p>
        </w:tc>
      </w:tr>
      <w:tr w:rsidR="006A47EA" w:rsidRPr="00AA0B81" w:rsidTr="00651E6D">
        <w:trPr>
          <w:trHeight w:val="54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EA" w:rsidRPr="00AA0B81" w:rsidRDefault="006A47EA" w:rsidP="00651E6D">
            <w:pPr>
              <w:spacing w:line="259" w:lineRule="auto"/>
              <w:ind w:right="59"/>
              <w:jc w:val="right"/>
            </w:pPr>
            <w:r w:rsidRPr="00AA0B81">
              <w:rPr>
                <w:rFonts w:eastAsia="Arial"/>
                <w:b/>
                <w:sz w:val="22"/>
              </w:rPr>
              <w:t xml:space="preserve">Дескриптори НРК 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36"/>
              <w:jc w:val="center"/>
            </w:pPr>
            <w:r w:rsidRPr="00AA0B81">
              <w:rPr>
                <w:rFonts w:eastAsia="Arial"/>
                <w:b/>
                <w:sz w:val="22"/>
              </w:rPr>
              <w:t xml:space="preserve">Вимоги до знань, умінь, комунікації, автономності та відповідальності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left="231" w:hanging="151"/>
            </w:pPr>
            <w:r w:rsidRPr="00AA0B81">
              <w:rPr>
                <w:rFonts w:eastAsia="Arial"/>
                <w:b/>
                <w:sz w:val="22"/>
              </w:rPr>
              <w:t xml:space="preserve">Показник оцінки  </w:t>
            </w:r>
          </w:p>
        </w:tc>
      </w:tr>
      <w:tr w:rsidR="006A47EA" w:rsidRPr="00AA0B81" w:rsidTr="00651E6D">
        <w:trPr>
          <w:trHeight w:val="540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три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85-89 </w:t>
            </w:r>
          </w:p>
        </w:tc>
      </w:tr>
      <w:tr w:rsidR="006A47EA" w:rsidRPr="00AA0B81" w:rsidTr="00651E6D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>Добре володіння компетенціями менеджменту особистості (не реалізовано чотири вимоги)</w:t>
            </w:r>
            <w:r w:rsidRPr="00AA0B81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80-84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Добре володіння компетенціями менеджменту особистості (не реалізовано шість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74-79 </w:t>
            </w:r>
          </w:p>
        </w:tc>
      </w:tr>
      <w:tr w:rsidR="006A47EA" w:rsidRPr="00AA0B81" w:rsidTr="00651E6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70-73 </w:t>
            </w:r>
          </w:p>
        </w:tc>
      </w:tr>
      <w:tr w:rsidR="006A47EA" w:rsidRPr="00AA0B81" w:rsidTr="00651E6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Задовільне володіння компетенціями менеджменту особистості (не реалізовано вісім вимог)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2"/>
              </w:rPr>
              <w:t xml:space="preserve">65-69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фрагментарний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60-64 </w:t>
            </w:r>
          </w:p>
        </w:tc>
      </w:tr>
      <w:tr w:rsidR="006A47EA" w:rsidRPr="00AA0B81" w:rsidTr="00651E6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after="160" w:line="259" w:lineRule="auto"/>
            </w:pPr>
          </w:p>
        </w:tc>
        <w:tc>
          <w:tcPr>
            <w:tcW w:w="6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</w:pPr>
            <w:r w:rsidRPr="00AA0B81">
              <w:rPr>
                <w:rFonts w:eastAsia="Arial"/>
                <w:sz w:val="22"/>
              </w:rPr>
              <w:t xml:space="preserve">Рівень автономності та відповідальності незадовільний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EA" w:rsidRPr="00AA0B81" w:rsidRDefault="006A47EA" w:rsidP="00651E6D">
            <w:pPr>
              <w:spacing w:line="259" w:lineRule="auto"/>
              <w:ind w:right="67"/>
              <w:jc w:val="center"/>
            </w:pPr>
            <w:r w:rsidRPr="00AA0B81">
              <w:rPr>
                <w:rFonts w:eastAsia="Arial"/>
                <w:sz w:val="21"/>
              </w:rPr>
              <w:t xml:space="preserve">&lt;60 </w:t>
            </w:r>
          </w:p>
        </w:tc>
      </w:tr>
    </w:tbl>
    <w:p w:rsidR="006A47EA" w:rsidRPr="0063475A" w:rsidRDefault="006A47EA" w:rsidP="006A47EA">
      <w:pPr>
        <w:spacing w:after="119" w:line="259" w:lineRule="auto"/>
        <w:ind w:left="623"/>
        <w:jc w:val="center"/>
      </w:pPr>
      <w:r w:rsidRPr="0063475A">
        <w:rPr>
          <w:rFonts w:ascii="Arial" w:eastAsia="Arial" w:hAnsi="Arial" w:cs="Arial"/>
          <w:b/>
          <w:i/>
          <w:sz w:val="22"/>
        </w:rPr>
        <w:t xml:space="preserve"> </w:t>
      </w:r>
    </w:p>
    <w:p w:rsidR="00680664" w:rsidRPr="004A0405" w:rsidRDefault="00680664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_Hlk498191233"/>
      <w:bookmarkStart w:id="20" w:name="_Toc534664494"/>
      <w:bookmarkEnd w:id="9"/>
      <w:bookmarkEnd w:id="1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</w:p>
    <w:p w:rsidR="00680664" w:rsidRDefault="00680664" w:rsidP="00234B6B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680664" w:rsidRPr="000D03FA" w:rsidRDefault="00680664" w:rsidP="004A0405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Дистанційна платформа </w:t>
      </w:r>
      <w:r w:rsidR="00B06427">
        <w:rPr>
          <w:bCs/>
          <w:color w:val="000000"/>
          <w:sz w:val="28"/>
          <w:szCs w:val="28"/>
        </w:rPr>
        <w:t>М</w:t>
      </w:r>
      <w:r w:rsidR="00B06427">
        <w:rPr>
          <w:bCs/>
          <w:color w:val="000000"/>
          <w:sz w:val="28"/>
          <w:szCs w:val="28"/>
          <w:lang w:val="en-US"/>
        </w:rPr>
        <w:t>oodl</w:t>
      </w:r>
      <w:r w:rsidR="00B06427"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680664" w:rsidRPr="00BD08A8" w:rsidRDefault="00680664" w:rsidP="00B74EFF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21"/>
    </w:p>
    <w:p w:rsidR="00604FC3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«Про транспорт» №232-94-ВС від 10.11.1994.</w:t>
      </w:r>
    </w:p>
    <w:p w:rsidR="00604FC3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Білятинський О.А., Старойвода В.П. Проектування капітального ремонту і реконструкції доріг: Підручник. – К.: Вища освіта, 2003. – 343 с.</w:t>
      </w:r>
    </w:p>
    <w:p w:rsidR="00604FC3" w:rsidRPr="00220179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Гофман В.А., Ромаданов Г.А. Общий курс автомобильных дорог. Учебник для вузов. М., «Высшая школа», 1976. – 207 с.</w:t>
      </w:r>
    </w:p>
    <w:p w:rsidR="00604FC3" w:rsidRPr="00220179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Некрасов В.К., Алиев Р.М. Эксплуатация автомобильных дорог. Учебник для автодорожных вузов. – 2-е изд., перераб. – М.: Высшая школа, 1983. – 287 с.</w:t>
      </w:r>
    </w:p>
    <w:p w:rsidR="00604FC3" w:rsidRPr="00082977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Чумаков Ю.Л., Кубасов А.У., Тарабарко Н.С. Строительство и эксплуатация автомобильных дорог. Учебник для автом.-дор. техникумов. – М., Транспорт, 1976. – 424 с.</w:t>
      </w:r>
    </w:p>
    <w:p w:rsidR="00604FC3" w:rsidRPr="00082977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Бируля А.К. Эксплуатация автомобильных дорог. – М.: Транспорт, 1966. – 326 с.</w:t>
      </w:r>
    </w:p>
    <w:p w:rsidR="00604FC3" w:rsidRPr="00082977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(Вводный курс) / Под общ. Ред. Н.В.Орнатского. – М.: Высшая школа, 1964. – 295 с.</w:t>
      </w:r>
    </w:p>
    <w:p w:rsidR="00604FC3" w:rsidRPr="00082977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Воркут А.И. Грузовые автомобильные перевозки. – К.: Вища школа, 1986. – 447 с.</w:t>
      </w:r>
    </w:p>
    <w:p w:rsidR="00604FC3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про автомобільний транспорт. Збірник законодавчих і нормативних актів. – 3., Поліграф, 1998. – 198 с.</w:t>
      </w:r>
    </w:p>
    <w:p w:rsidR="00604FC3" w:rsidRPr="00EC7292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Бабков В.Ф. Автомобильные дороги. – М.: Транспорт. 1987. – 375 с.</w:t>
      </w:r>
    </w:p>
    <w:p w:rsidR="00604FC3" w:rsidRPr="00EC7292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Промышленный транспорт. Справочник проектировщика (под ред. И.С.Гельмана) 3-е изд. - М. Стройиздат, 1984. – 575 с. </w:t>
      </w:r>
    </w:p>
    <w:p w:rsidR="00604FC3" w:rsidRPr="003813A0" w:rsidRDefault="00604FC3" w:rsidP="00604FC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Руководство по оценке пропускной способности автомобильных дорог. – М.: Транспорт, 1989. – 89 с.</w:t>
      </w:r>
    </w:p>
    <w:p w:rsidR="00B74EFF" w:rsidRPr="00B74EFF" w:rsidRDefault="00B74EFF" w:rsidP="00B74EFF">
      <w:pPr>
        <w:pStyle w:val="16"/>
        <w:tabs>
          <w:tab w:val="left" w:pos="993"/>
        </w:tabs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Рекомендується використовувати інтернет при самостійній підготовці.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Пошук необхідних матеріалів проводиться за ключовими словами.</w:t>
      </w:r>
    </w:p>
    <w:p w:rsidR="00B74EFF" w:rsidRPr="00B74EFF" w:rsidRDefault="00B74EFF" w:rsidP="00B74EFF">
      <w:pPr>
        <w:pStyle w:val="16"/>
        <w:tabs>
          <w:tab w:val="left" w:pos="993"/>
        </w:tabs>
        <w:spacing w:before="0"/>
        <w:ind w:firstLine="709"/>
        <w:rPr>
          <w:bCs/>
          <w:color w:val="000000"/>
          <w:szCs w:val="28"/>
        </w:rPr>
      </w:pPr>
      <w:r w:rsidRPr="00B74EFF">
        <w:rPr>
          <w:bCs/>
          <w:color w:val="000000"/>
          <w:szCs w:val="28"/>
        </w:rPr>
        <w:t>Приведений перелік літератури не є вичерпним.</w:t>
      </w:r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B74EFF" w:rsidRDefault="00B74EFF" w:rsidP="00B74EFF">
      <w:pPr>
        <w:pStyle w:val="ad"/>
        <w:numPr>
          <w:ilvl w:val="0"/>
          <w:numId w:val="24"/>
        </w:numPr>
        <w:shd w:val="clear" w:color="auto" w:fill="FFFFFF"/>
        <w:tabs>
          <w:tab w:val="left" w:pos="365"/>
        </w:tabs>
        <w:spacing w:line="276" w:lineRule="auto"/>
        <w:rPr>
          <w:b/>
          <w:bCs/>
          <w:color w:val="000000"/>
          <w:sz w:val="28"/>
          <w:szCs w:val="28"/>
        </w:rPr>
      </w:pPr>
      <w:r w:rsidRPr="00B74EFF">
        <w:rPr>
          <w:b/>
          <w:bCs/>
          <w:color w:val="000000"/>
          <w:sz w:val="28"/>
          <w:szCs w:val="28"/>
        </w:rPr>
        <w:t>ІНФОРМАЦІЙНІ РЕСУРСИ</w:t>
      </w:r>
    </w:p>
    <w:p w:rsidR="00B74EFF" w:rsidRPr="00B74EFF" w:rsidRDefault="00B74EFF" w:rsidP="00B74EFF">
      <w:pPr>
        <w:pStyle w:val="ad"/>
        <w:shd w:val="clear" w:color="auto" w:fill="FFFFFF"/>
        <w:tabs>
          <w:tab w:val="left" w:pos="365"/>
        </w:tabs>
        <w:spacing w:line="276" w:lineRule="auto"/>
        <w:ind w:left="1080"/>
        <w:rPr>
          <w:b/>
          <w:bCs/>
          <w:color w:val="000000"/>
          <w:sz w:val="28"/>
          <w:szCs w:val="28"/>
        </w:rPr>
      </w:pPr>
    </w:p>
    <w:p w:rsidR="00B74EFF" w:rsidRPr="00B74EFF" w:rsidRDefault="005444B0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9" w:history="1">
        <w:r w:rsidR="00B74EFF" w:rsidRPr="00B74EFF">
          <w:rPr>
            <w:bCs/>
            <w:color w:val="000000"/>
            <w:sz w:val="28"/>
            <w:szCs w:val="28"/>
          </w:rPr>
          <w:t>https://www.uakey.com.ua/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r w:rsidRPr="00B74EFF">
        <w:rPr>
          <w:bCs/>
          <w:color w:val="000000"/>
          <w:sz w:val="28"/>
          <w:szCs w:val="28"/>
        </w:rPr>
        <w:t xml:space="preserve"> </w:t>
      </w:r>
      <w:hyperlink r:id="rId10" w:history="1">
        <w:r w:rsidRPr="00B74EFF">
          <w:rPr>
            <w:bCs/>
            <w:color w:val="000000"/>
            <w:sz w:val="28"/>
            <w:szCs w:val="28"/>
          </w:rPr>
          <w:t>https://czo.gov.ua/ca-registry-details?type=0&amp;id=60</w:t>
        </w:r>
      </w:hyperlink>
    </w:p>
    <w:p w:rsidR="00B74EFF" w:rsidRPr="00B74EFF" w:rsidRDefault="005444B0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1" w:history="1">
        <w:r w:rsidR="00B74EFF" w:rsidRPr="00B74EFF">
          <w:rPr>
            <w:bCs/>
            <w:color w:val="000000"/>
            <w:sz w:val="28"/>
            <w:szCs w:val="28"/>
          </w:rPr>
          <w:t>https://www.uakey.com.ua/ua/setificate-one-office/text=3&amp;page=1?lang=ukr</w:t>
        </w:r>
      </w:hyperlink>
    </w:p>
    <w:p w:rsidR="00B74EFF" w:rsidRPr="00B74EFF" w:rsidRDefault="005444B0" w:rsidP="00B74EFF">
      <w:pPr>
        <w:shd w:val="clear" w:color="auto" w:fill="FFFFFF"/>
        <w:tabs>
          <w:tab w:val="left" w:pos="365"/>
        </w:tabs>
        <w:spacing w:line="276" w:lineRule="auto"/>
        <w:rPr>
          <w:bCs/>
          <w:color w:val="000000"/>
          <w:sz w:val="28"/>
          <w:szCs w:val="28"/>
        </w:rPr>
      </w:pPr>
      <w:hyperlink r:id="rId12" w:history="1">
        <w:r w:rsidR="00B74EFF" w:rsidRPr="00B74EFF">
          <w:rPr>
            <w:bCs/>
            <w:color w:val="000000"/>
            <w:sz w:val="28"/>
            <w:szCs w:val="28"/>
          </w:rPr>
          <w:t>http://ukrcert.com/script/index_oc.php</w:t>
        </w:r>
      </w:hyperlink>
    </w:p>
    <w:p w:rsidR="00B74EFF" w:rsidRPr="00B74EFF" w:rsidRDefault="00B74EFF" w:rsidP="00B74EFF">
      <w:pPr>
        <w:shd w:val="clear" w:color="auto" w:fill="FFFFFF"/>
        <w:tabs>
          <w:tab w:val="left" w:pos="365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680664" w:rsidRDefault="006806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664" w:rsidRPr="006E5ACF" w:rsidRDefault="00680664" w:rsidP="00727599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Навчальне видання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</w:p>
    <w:p w:rsidR="00680664" w:rsidRPr="006E5ACF" w:rsidRDefault="00680664" w:rsidP="001B2ED6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110250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510379">
        <w:rPr>
          <w:sz w:val="28"/>
          <w:szCs w:val="28"/>
        </w:rPr>
        <w:t>Вступ до фаху</w:t>
      </w:r>
      <w:r w:rsidRPr="006E5ACF">
        <w:rPr>
          <w:b w:val="0"/>
          <w:sz w:val="28"/>
          <w:szCs w:val="28"/>
        </w:rPr>
        <w:t xml:space="preserve">» </w:t>
      </w:r>
    </w:p>
    <w:p w:rsidR="00680664" w:rsidRPr="006E5ACF" w:rsidRDefault="00680664" w:rsidP="001B2ED6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sz w:val="28"/>
          <w:szCs w:val="28"/>
        </w:rPr>
        <w:t xml:space="preserve">для </w:t>
      </w:r>
      <w:r w:rsidR="00B74EFF">
        <w:rPr>
          <w:b w:val="0"/>
          <w:sz w:val="28"/>
          <w:szCs w:val="28"/>
        </w:rPr>
        <w:t xml:space="preserve">бакалаврів </w:t>
      </w:r>
      <w:r w:rsidRPr="006E5ACF">
        <w:rPr>
          <w:b w:val="0"/>
          <w:sz w:val="28"/>
          <w:szCs w:val="28"/>
        </w:rPr>
        <w:t xml:space="preserve">спеціальності </w:t>
      </w:r>
      <w:r w:rsidR="00B74EFF">
        <w:rPr>
          <w:b w:val="0"/>
          <w:sz w:val="28"/>
          <w:szCs w:val="28"/>
        </w:rPr>
        <w:t>274</w:t>
      </w:r>
      <w:r w:rsidRPr="006E5ACF">
        <w:rPr>
          <w:b w:val="0"/>
          <w:sz w:val="28"/>
          <w:szCs w:val="28"/>
        </w:rPr>
        <w:t xml:space="preserve"> «</w:t>
      </w:r>
      <w:r w:rsidR="00B74EFF">
        <w:rPr>
          <w:b w:val="0"/>
          <w:sz w:val="28"/>
          <w:szCs w:val="28"/>
        </w:rPr>
        <w:t>Автомобільний транспорт</w:t>
      </w:r>
      <w:r w:rsidRPr="006E5ACF">
        <w:rPr>
          <w:b w:val="0"/>
          <w:sz w:val="28"/>
          <w:szCs w:val="28"/>
        </w:rPr>
        <w:t>»</w:t>
      </w: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Pr="00552ED1" w:rsidRDefault="00680664" w:rsidP="001B2ED6">
      <w:pPr>
        <w:suppressLineNumbers/>
        <w:suppressAutoHyphens/>
        <w:ind w:left="-6"/>
        <w:jc w:val="center"/>
        <w:rPr>
          <w:sz w:val="28"/>
          <w:szCs w:val="28"/>
          <w:lang w:val="en-US"/>
        </w:rPr>
      </w:pPr>
      <w:r w:rsidRPr="00064D43">
        <w:rPr>
          <w:sz w:val="28"/>
          <w:szCs w:val="28"/>
        </w:rPr>
        <w:t xml:space="preserve">Розробник: </w:t>
      </w:r>
      <w:r w:rsidR="00110250">
        <w:rPr>
          <w:sz w:val="28"/>
          <w:szCs w:val="28"/>
        </w:rPr>
        <w:t>Бас Костянтин Маркович</w:t>
      </w:r>
    </w:p>
    <w:p w:rsidR="00680664" w:rsidRPr="00064D43" w:rsidRDefault="00680664" w:rsidP="001B2ED6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Редактор: </w:t>
      </w:r>
      <w:r w:rsidRPr="009503A9">
        <w:rPr>
          <w:sz w:val="28"/>
          <w:szCs w:val="28"/>
        </w:rPr>
        <w:t>О.Н. Ільченко</w:t>
      </w:r>
    </w:p>
    <w:p w:rsidR="00680664" w:rsidRPr="006E5ACF" w:rsidRDefault="00680664" w:rsidP="001B2ED6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Підписано до друку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>.20</w:t>
      </w:r>
      <w:r w:rsidR="00B74EFF">
        <w:rPr>
          <w:sz w:val="28"/>
          <w:szCs w:val="28"/>
        </w:rPr>
        <w:t>__</w:t>
      </w:r>
      <w:r w:rsidRPr="006E5ACF">
        <w:rPr>
          <w:sz w:val="28"/>
          <w:szCs w:val="28"/>
        </w:rPr>
        <w:t xml:space="preserve">. Формат 30 </w:t>
      </w:r>
      <w:r w:rsidRPr="006E5ACF">
        <w:rPr>
          <w:sz w:val="28"/>
          <w:szCs w:val="28"/>
        </w:rPr>
        <w:sym w:font="Symbol" w:char="F0B4"/>
      </w:r>
      <w:r w:rsidRPr="006E5ACF">
        <w:rPr>
          <w:sz w:val="28"/>
          <w:szCs w:val="28"/>
        </w:rPr>
        <w:t xml:space="preserve"> 42/4.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Папір офсетний. Ризографія. Ум. друк.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Обл.-вид. арк. </w:t>
      </w:r>
      <w:r>
        <w:rPr>
          <w:sz w:val="28"/>
          <w:szCs w:val="28"/>
        </w:rPr>
        <w:t>1,25</w:t>
      </w:r>
      <w:r w:rsidRPr="006E5ACF">
        <w:rPr>
          <w:sz w:val="28"/>
          <w:szCs w:val="28"/>
        </w:rPr>
        <w:t>. Тираж 100 прим. Зам.____.</w:t>
      </w: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:rsidR="00680664" w:rsidRPr="006E5ACF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="00680664" w:rsidRDefault="00680664" w:rsidP="001B2ED6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4960</w:t>
      </w:r>
      <w:r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просп.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:rsidR="00680664" w:rsidRPr="00257372" w:rsidRDefault="00680664">
      <w:pPr>
        <w:suppressLineNumbers/>
        <w:suppressAutoHyphens/>
        <w:jc w:val="center"/>
        <w:rPr>
          <w:bCs/>
          <w:sz w:val="28"/>
          <w:szCs w:val="28"/>
        </w:rPr>
      </w:pPr>
    </w:p>
    <w:sectPr w:rsidR="00680664" w:rsidRPr="00257372" w:rsidSect="00E50E08">
      <w:footerReference w:type="defaul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B0" w:rsidRDefault="005444B0" w:rsidP="00B95F75">
      <w:r>
        <w:separator/>
      </w:r>
    </w:p>
  </w:endnote>
  <w:endnote w:type="continuationSeparator" w:id="0">
    <w:p w:rsidR="005444B0" w:rsidRDefault="005444B0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6D" w:rsidRDefault="00651E6D">
    <w:pPr>
      <w:pStyle w:val="af1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3CA1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B0" w:rsidRDefault="005444B0" w:rsidP="00B95F75">
      <w:r>
        <w:separator/>
      </w:r>
    </w:p>
  </w:footnote>
  <w:footnote w:type="continuationSeparator" w:id="0">
    <w:p w:rsidR="005444B0" w:rsidRDefault="005444B0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75pt;height:61.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11C4199"/>
    <w:multiLevelType w:val="hybridMultilevel"/>
    <w:tmpl w:val="843C7C4E"/>
    <w:lvl w:ilvl="0" w:tplc="431037A0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46A84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260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666CF0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6291C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E25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8C96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2252E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2419A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B63F14"/>
    <w:multiLevelType w:val="hybridMultilevel"/>
    <w:tmpl w:val="4D484A16"/>
    <w:lvl w:ilvl="0" w:tplc="B6F0B2FA">
      <w:start w:val="1"/>
      <w:numFmt w:val="bullet"/>
      <w:lvlText w:val="-"/>
      <w:lvlJc w:val="left"/>
      <w:pPr>
        <w:ind w:left="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868C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237CE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4C3B2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AE52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27082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823D2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4CD772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E5058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041CA"/>
    <w:multiLevelType w:val="hybridMultilevel"/>
    <w:tmpl w:val="62F6E708"/>
    <w:lvl w:ilvl="0" w:tplc="ACB64D4A">
      <w:start w:val="1"/>
      <w:numFmt w:val="bullet"/>
      <w:lvlText w:val="-"/>
      <w:lvlJc w:val="left"/>
      <w:pPr>
        <w:ind w:left="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CA0F2">
      <w:start w:val="1"/>
      <w:numFmt w:val="bullet"/>
      <w:lvlText w:val="o"/>
      <w:lvlJc w:val="left"/>
      <w:pPr>
        <w:ind w:left="1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42CC">
      <w:start w:val="1"/>
      <w:numFmt w:val="bullet"/>
      <w:lvlText w:val="▪"/>
      <w:lvlJc w:val="left"/>
      <w:pPr>
        <w:ind w:left="19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6D836">
      <w:start w:val="1"/>
      <w:numFmt w:val="bullet"/>
      <w:lvlText w:val="•"/>
      <w:lvlJc w:val="left"/>
      <w:pPr>
        <w:ind w:left="26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0DF16">
      <w:start w:val="1"/>
      <w:numFmt w:val="bullet"/>
      <w:lvlText w:val="o"/>
      <w:lvlJc w:val="left"/>
      <w:pPr>
        <w:ind w:left="33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C9DEE">
      <w:start w:val="1"/>
      <w:numFmt w:val="bullet"/>
      <w:lvlText w:val="▪"/>
      <w:lvlJc w:val="left"/>
      <w:pPr>
        <w:ind w:left="40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84550">
      <w:start w:val="1"/>
      <w:numFmt w:val="bullet"/>
      <w:lvlText w:val="•"/>
      <w:lvlJc w:val="left"/>
      <w:pPr>
        <w:ind w:left="47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C7650">
      <w:start w:val="1"/>
      <w:numFmt w:val="bullet"/>
      <w:lvlText w:val="o"/>
      <w:lvlJc w:val="left"/>
      <w:pPr>
        <w:ind w:left="5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A1A52">
      <w:start w:val="1"/>
      <w:numFmt w:val="bullet"/>
      <w:lvlText w:val="▪"/>
      <w:lvlJc w:val="left"/>
      <w:pPr>
        <w:ind w:left="6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A154A0"/>
    <w:multiLevelType w:val="hybridMultilevel"/>
    <w:tmpl w:val="E35A924E"/>
    <w:lvl w:ilvl="0" w:tplc="D59AF7E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275C0"/>
    <w:multiLevelType w:val="hybridMultilevel"/>
    <w:tmpl w:val="3B1CEC9A"/>
    <w:lvl w:ilvl="0" w:tplc="62BC4DC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2995A">
      <w:start w:val="1"/>
      <w:numFmt w:val="bullet"/>
      <w:lvlText w:val="o"/>
      <w:lvlJc w:val="left"/>
      <w:pPr>
        <w:ind w:left="11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481CE4">
      <w:start w:val="1"/>
      <w:numFmt w:val="bullet"/>
      <w:lvlText w:val="▪"/>
      <w:lvlJc w:val="left"/>
      <w:pPr>
        <w:ind w:left="18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C47788">
      <w:start w:val="1"/>
      <w:numFmt w:val="bullet"/>
      <w:lvlText w:val="•"/>
      <w:lvlJc w:val="left"/>
      <w:pPr>
        <w:ind w:left="26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365C">
      <w:start w:val="1"/>
      <w:numFmt w:val="bullet"/>
      <w:lvlText w:val="o"/>
      <w:lvlJc w:val="left"/>
      <w:pPr>
        <w:ind w:left="33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8253C">
      <w:start w:val="1"/>
      <w:numFmt w:val="bullet"/>
      <w:lvlText w:val="▪"/>
      <w:lvlJc w:val="left"/>
      <w:pPr>
        <w:ind w:left="40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26744">
      <w:start w:val="1"/>
      <w:numFmt w:val="bullet"/>
      <w:lvlText w:val="•"/>
      <w:lvlJc w:val="left"/>
      <w:pPr>
        <w:ind w:left="47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4B4F8">
      <w:start w:val="1"/>
      <w:numFmt w:val="bullet"/>
      <w:lvlText w:val="o"/>
      <w:lvlJc w:val="left"/>
      <w:pPr>
        <w:ind w:left="54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E3388">
      <w:start w:val="1"/>
      <w:numFmt w:val="bullet"/>
      <w:lvlText w:val="▪"/>
      <w:lvlJc w:val="left"/>
      <w:pPr>
        <w:ind w:left="6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4E92"/>
    <w:multiLevelType w:val="hybridMultilevel"/>
    <w:tmpl w:val="D5082CDA"/>
    <w:lvl w:ilvl="0" w:tplc="0C86BA8C">
      <w:start w:val="1"/>
      <w:numFmt w:val="bullet"/>
      <w:lvlText w:val="•"/>
      <w:lvlPicBulletId w:val="0"/>
      <w:lvlJc w:val="left"/>
      <w:pPr>
        <w:ind w:left="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4C9750">
      <w:start w:val="1"/>
      <w:numFmt w:val="bullet"/>
      <w:lvlText w:val="o"/>
      <w:lvlJc w:val="left"/>
      <w:pPr>
        <w:ind w:left="1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5ADA76">
      <w:start w:val="1"/>
      <w:numFmt w:val="bullet"/>
      <w:lvlText w:val="▪"/>
      <w:lvlJc w:val="left"/>
      <w:pPr>
        <w:ind w:left="2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CD2D2">
      <w:start w:val="1"/>
      <w:numFmt w:val="bullet"/>
      <w:lvlText w:val="•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8216E2">
      <w:start w:val="1"/>
      <w:numFmt w:val="bullet"/>
      <w:lvlText w:val="o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3C1902">
      <w:start w:val="1"/>
      <w:numFmt w:val="bullet"/>
      <w:lvlText w:val="▪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104EB8">
      <w:start w:val="1"/>
      <w:numFmt w:val="bullet"/>
      <w:lvlText w:val="•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B4B7B4">
      <w:start w:val="1"/>
      <w:numFmt w:val="bullet"/>
      <w:lvlText w:val="o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108C0C">
      <w:start w:val="1"/>
      <w:numFmt w:val="bullet"/>
      <w:lvlText w:val="▪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F66BA0"/>
    <w:multiLevelType w:val="hybridMultilevel"/>
    <w:tmpl w:val="7F38FECC"/>
    <w:lvl w:ilvl="0" w:tplc="8304D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50F7"/>
    <w:multiLevelType w:val="hybridMultilevel"/>
    <w:tmpl w:val="C2826AB6"/>
    <w:lvl w:ilvl="0" w:tplc="22C678A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C584">
      <w:start w:val="1"/>
      <w:numFmt w:val="bullet"/>
      <w:lvlText w:val="o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0F578">
      <w:start w:val="1"/>
      <w:numFmt w:val="bullet"/>
      <w:lvlText w:val="▪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C2FAE">
      <w:start w:val="1"/>
      <w:numFmt w:val="bullet"/>
      <w:lvlText w:val="•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49394">
      <w:start w:val="1"/>
      <w:numFmt w:val="bullet"/>
      <w:lvlText w:val="o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A8ADE">
      <w:start w:val="1"/>
      <w:numFmt w:val="bullet"/>
      <w:lvlText w:val="▪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0C40E">
      <w:start w:val="1"/>
      <w:numFmt w:val="bullet"/>
      <w:lvlText w:val="•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08780">
      <w:start w:val="1"/>
      <w:numFmt w:val="bullet"/>
      <w:lvlText w:val="o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FC5EF4">
      <w:start w:val="1"/>
      <w:numFmt w:val="bullet"/>
      <w:lvlText w:val="▪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5249C9"/>
    <w:multiLevelType w:val="hybridMultilevel"/>
    <w:tmpl w:val="E03E55C2"/>
    <w:lvl w:ilvl="0" w:tplc="5BCC37F2">
      <w:start w:val="1"/>
      <w:numFmt w:val="bullet"/>
      <w:lvlText w:val="•"/>
      <w:lvlPicBulletId w:val="0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67506">
      <w:start w:val="1"/>
      <w:numFmt w:val="bullet"/>
      <w:lvlText w:val="o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745002">
      <w:start w:val="1"/>
      <w:numFmt w:val="bullet"/>
      <w:lvlText w:val="▪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E42294">
      <w:start w:val="1"/>
      <w:numFmt w:val="bullet"/>
      <w:lvlText w:val="•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CA6B48">
      <w:start w:val="1"/>
      <w:numFmt w:val="bullet"/>
      <w:lvlText w:val="o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7871D0">
      <w:start w:val="1"/>
      <w:numFmt w:val="bullet"/>
      <w:lvlText w:val="▪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2AD44E">
      <w:start w:val="1"/>
      <w:numFmt w:val="bullet"/>
      <w:lvlText w:val="•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76EC90">
      <w:start w:val="1"/>
      <w:numFmt w:val="bullet"/>
      <w:lvlText w:val="o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D0B33E">
      <w:start w:val="1"/>
      <w:numFmt w:val="bullet"/>
      <w:lvlText w:val="▪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7E6760"/>
    <w:multiLevelType w:val="hybridMultilevel"/>
    <w:tmpl w:val="5A82CAF2"/>
    <w:lvl w:ilvl="0" w:tplc="602E5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D277AA"/>
    <w:multiLevelType w:val="hybridMultilevel"/>
    <w:tmpl w:val="F29E3138"/>
    <w:lvl w:ilvl="0" w:tplc="F09C3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9562FF"/>
    <w:multiLevelType w:val="hybridMultilevel"/>
    <w:tmpl w:val="82C662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D94D85"/>
    <w:multiLevelType w:val="hybridMultilevel"/>
    <w:tmpl w:val="26FC1A94"/>
    <w:lvl w:ilvl="0" w:tplc="1B3424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D166045"/>
    <w:multiLevelType w:val="hybridMultilevel"/>
    <w:tmpl w:val="FFAAB60A"/>
    <w:lvl w:ilvl="0" w:tplc="24F0866C">
      <w:start w:val="1"/>
      <w:numFmt w:val="bullet"/>
      <w:lvlText w:val="-"/>
      <w:lvlJc w:val="left"/>
      <w:pPr>
        <w:ind w:left="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A25C8">
      <w:start w:val="1"/>
      <w:numFmt w:val="bullet"/>
      <w:lvlText w:val="o"/>
      <w:lvlJc w:val="left"/>
      <w:pPr>
        <w:ind w:left="1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28976">
      <w:start w:val="1"/>
      <w:numFmt w:val="bullet"/>
      <w:lvlText w:val="▪"/>
      <w:lvlJc w:val="left"/>
      <w:pPr>
        <w:ind w:left="1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2DAFA">
      <w:start w:val="1"/>
      <w:numFmt w:val="bullet"/>
      <w:lvlText w:val="•"/>
      <w:lvlJc w:val="left"/>
      <w:pPr>
        <w:ind w:left="2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C25C8">
      <w:start w:val="1"/>
      <w:numFmt w:val="bullet"/>
      <w:lvlText w:val="o"/>
      <w:lvlJc w:val="left"/>
      <w:pPr>
        <w:ind w:left="3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A4D7A">
      <w:start w:val="1"/>
      <w:numFmt w:val="bullet"/>
      <w:lvlText w:val="▪"/>
      <w:lvlJc w:val="left"/>
      <w:pPr>
        <w:ind w:left="40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4332A">
      <w:start w:val="1"/>
      <w:numFmt w:val="bullet"/>
      <w:lvlText w:val="•"/>
      <w:lvlJc w:val="left"/>
      <w:pPr>
        <w:ind w:left="4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0912C">
      <w:start w:val="1"/>
      <w:numFmt w:val="bullet"/>
      <w:lvlText w:val="o"/>
      <w:lvlJc w:val="left"/>
      <w:pPr>
        <w:ind w:left="5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9486">
      <w:start w:val="1"/>
      <w:numFmt w:val="bullet"/>
      <w:lvlText w:val="▪"/>
      <w:lvlJc w:val="left"/>
      <w:pPr>
        <w:ind w:left="6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0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8C4A14"/>
    <w:multiLevelType w:val="hybridMultilevel"/>
    <w:tmpl w:val="E9A6336E"/>
    <w:lvl w:ilvl="0" w:tplc="DAD228A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6"/>
  </w:num>
  <w:num w:numId="5">
    <w:abstractNumId w:val="25"/>
  </w:num>
  <w:num w:numId="6">
    <w:abstractNumId w:val="10"/>
  </w:num>
  <w:num w:numId="7">
    <w:abstractNumId w:val="19"/>
  </w:num>
  <w:num w:numId="8">
    <w:abstractNumId w:val="23"/>
  </w:num>
  <w:num w:numId="9">
    <w:abstractNumId w:val="32"/>
  </w:num>
  <w:num w:numId="10">
    <w:abstractNumId w:val="14"/>
  </w:num>
  <w:num w:numId="11">
    <w:abstractNumId w:val="30"/>
  </w:num>
  <w:num w:numId="12">
    <w:abstractNumId w:val="8"/>
  </w:num>
  <w:num w:numId="13">
    <w:abstractNumId w:val="20"/>
  </w:num>
  <w:num w:numId="14">
    <w:abstractNumId w:val="18"/>
  </w:num>
  <w:num w:numId="15">
    <w:abstractNumId w:val="2"/>
  </w:num>
  <w:num w:numId="16">
    <w:abstractNumId w:val="26"/>
  </w:num>
  <w:num w:numId="17">
    <w:abstractNumId w:val="31"/>
  </w:num>
  <w:num w:numId="18">
    <w:abstractNumId w:val="0"/>
  </w:num>
  <w:num w:numId="19">
    <w:abstractNumId w:val="7"/>
  </w:num>
  <w:num w:numId="20">
    <w:abstractNumId w:val="2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1"/>
  </w:num>
  <w:num w:numId="26">
    <w:abstractNumId w:val="4"/>
  </w:num>
  <w:num w:numId="27">
    <w:abstractNumId w:val="9"/>
  </w:num>
  <w:num w:numId="28">
    <w:abstractNumId w:val="13"/>
  </w:num>
  <w:num w:numId="29">
    <w:abstractNumId w:val="15"/>
  </w:num>
  <w:num w:numId="30">
    <w:abstractNumId w:val="1"/>
  </w:num>
  <w:num w:numId="31">
    <w:abstractNumId w:val="3"/>
  </w:num>
  <w:num w:numId="32">
    <w:abstractNumId w:val="28"/>
  </w:num>
  <w:num w:numId="33">
    <w:abstractNumId w:val="16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12CB7"/>
    <w:rsid w:val="0001500E"/>
    <w:rsid w:val="0004380B"/>
    <w:rsid w:val="000512EA"/>
    <w:rsid w:val="000567C9"/>
    <w:rsid w:val="00064D43"/>
    <w:rsid w:val="000658DB"/>
    <w:rsid w:val="00082F61"/>
    <w:rsid w:val="000878AC"/>
    <w:rsid w:val="00091888"/>
    <w:rsid w:val="000A4DEC"/>
    <w:rsid w:val="000A6222"/>
    <w:rsid w:val="000B2980"/>
    <w:rsid w:val="000B57D9"/>
    <w:rsid w:val="000C5BA8"/>
    <w:rsid w:val="000D03FA"/>
    <w:rsid w:val="000D70FE"/>
    <w:rsid w:val="000E0106"/>
    <w:rsid w:val="000E5B22"/>
    <w:rsid w:val="000E5BF7"/>
    <w:rsid w:val="000F3F74"/>
    <w:rsid w:val="00110250"/>
    <w:rsid w:val="001143C5"/>
    <w:rsid w:val="0011654A"/>
    <w:rsid w:val="00123446"/>
    <w:rsid w:val="001334A0"/>
    <w:rsid w:val="001373CE"/>
    <w:rsid w:val="00140448"/>
    <w:rsid w:val="001508A1"/>
    <w:rsid w:val="00160A97"/>
    <w:rsid w:val="001620F7"/>
    <w:rsid w:val="00166E07"/>
    <w:rsid w:val="001672BF"/>
    <w:rsid w:val="00182899"/>
    <w:rsid w:val="00187E6A"/>
    <w:rsid w:val="001927A4"/>
    <w:rsid w:val="00194586"/>
    <w:rsid w:val="00196FFA"/>
    <w:rsid w:val="001A087A"/>
    <w:rsid w:val="001A14C3"/>
    <w:rsid w:val="001A6E5D"/>
    <w:rsid w:val="001B2ED6"/>
    <w:rsid w:val="001C121E"/>
    <w:rsid w:val="001C7C2F"/>
    <w:rsid w:val="001D0B99"/>
    <w:rsid w:val="001D2D5C"/>
    <w:rsid w:val="001D44E4"/>
    <w:rsid w:val="001E1880"/>
    <w:rsid w:val="001E33C4"/>
    <w:rsid w:val="001E4149"/>
    <w:rsid w:val="001E7294"/>
    <w:rsid w:val="001F06AF"/>
    <w:rsid w:val="001F2F86"/>
    <w:rsid w:val="00201D8C"/>
    <w:rsid w:val="00205335"/>
    <w:rsid w:val="002146A0"/>
    <w:rsid w:val="00215C5A"/>
    <w:rsid w:val="00221854"/>
    <w:rsid w:val="00225B42"/>
    <w:rsid w:val="00234B6B"/>
    <w:rsid w:val="0023500E"/>
    <w:rsid w:val="00236BE4"/>
    <w:rsid w:val="0024257E"/>
    <w:rsid w:val="0024301F"/>
    <w:rsid w:val="00255A2F"/>
    <w:rsid w:val="00255D53"/>
    <w:rsid w:val="00256C40"/>
    <w:rsid w:val="00257372"/>
    <w:rsid w:val="00265939"/>
    <w:rsid w:val="00272336"/>
    <w:rsid w:val="002733F1"/>
    <w:rsid w:val="00273451"/>
    <w:rsid w:val="00274A96"/>
    <w:rsid w:val="00275199"/>
    <w:rsid w:val="00284942"/>
    <w:rsid w:val="00286B8D"/>
    <w:rsid w:val="00291867"/>
    <w:rsid w:val="002A7741"/>
    <w:rsid w:val="002B0B64"/>
    <w:rsid w:val="002B259E"/>
    <w:rsid w:val="002C06C3"/>
    <w:rsid w:val="002C3269"/>
    <w:rsid w:val="002C5352"/>
    <w:rsid w:val="002D0D9A"/>
    <w:rsid w:val="002D4B16"/>
    <w:rsid w:val="002E652D"/>
    <w:rsid w:val="002F253C"/>
    <w:rsid w:val="00303B86"/>
    <w:rsid w:val="003118C7"/>
    <w:rsid w:val="00317445"/>
    <w:rsid w:val="0032312C"/>
    <w:rsid w:val="00327C7A"/>
    <w:rsid w:val="00344224"/>
    <w:rsid w:val="00352024"/>
    <w:rsid w:val="00354C14"/>
    <w:rsid w:val="00360266"/>
    <w:rsid w:val="00376BCE"/>
    <w:rsid w:val="00382574"/>
    <w:rsid w:val="0038764E"/>
    <w:rsid w:val="003918A9"/>
    <w:rsid w:val="00392811"/>
    <w:rsid w:val="00393129"/>
    <w:rsid w:val="003A3B53"/>
    <w:rsid w:val="003A75BD"/>
    <w:rsid w:val="003C0644"/>
    <w:rsid w:val="003C271B"/>
    <w:rsid w:val="003D13A9"/>
    <w:rsid w:val="003D2378"/>
    <w:rsid w:val="003F353E"/>
    <w:rsid w:val="00401F46"/>
    <w:rsid w:val="00407CCB"/>
    <w:rsid w:val="00421C05"/>
    <w:rsid w:val="00423103"/>
    <w:rsid w:val="004274EA"/>
    <w:rsid w:val="004446AF"/>
    <w:rsid w:val="00453774"/>
    <w:rsid w:val="00455DAA"/>
    <w:rsid w:val="00467DC3"/>
    <w:rsid w:val="0047502B"/>
    <w:rsid w:val="00475E7D"/>
    <w:rsid w:val="004762A7"/>
    <w:rsid w:val="00494E17"/>
    <w:rsid w:val="00496006"/>
    <w:rsid w:val="004A0405"/>
    <w:rsid w:val="004A382A"/>
    <w:rsid w:val="004A622E"/>
    <w:rsid w:val="004B3BC8"/>
    <w:rsid w:val="004C2535"/>
    <w:rsid w:val="004D0E42"/>
    <w:rsid w:val="004D4C31"/>
    <w:rsid w:val="004D6842"/>
    <w:rsid w:val="004E716B"/>
    <w:rsid w:val="004F6FE7"/>
    <w:rsid w:val="00510282"/>
    <w:rsid w:val="00510379"/>
    <w:rsid w:val="005172AF"/>
    <w:rsid w:val="0051730F"/>
    <w:rsid w:val="00521F0B"/>
    <w:rsid w:val="00524D35"/>
    <w:rsid w:val="0052662F"/>
    <w:rsid w:val="00543DCE"/>
    <w:rsid w:val="005442CC"/>
    <w:rsid w:val="005444B0"/>
    <w:rsid w:val="00547590"/>
    <w:rsid w:val="00547B58"/>
    <w:rsid w:val="00552ED1"/>
    <w:rsid w:val="00553261"/>
    <w:rsid w:val="005618B4"/>
    <w:rsid w:val="00567232"/>
    <w:rsid w:val="00572325"/>
    <w:rsid w:val="005759F5"/>
    <w:rsid w:val="0059119A"/>
    <w:rsid w:val="005929EA"/>
    <w:rsid w:val="005A0C8E"/>
    <w:rsid w:val="005A1EFA"/>
    <w:rsid w:val="005B5148"/>
    <w:rsid w:val="005B5C31"/>
    <w:rsid w:val="005C1A7B"/>
    <w:rsid w:val="005C6E4A"/>
    <w:rsid w:val="005D1DE1"/>
    <w:rsid w:val="005D6891"/>
    <w:rsid w:val="005F583F"/>
    <w:rsid w:val="005F5A5F"/>
    <w:rsid w:val="005F69DF"/>
    <w:rsid w:val="005F7006"/>
    <w:rsid w:val="0060073A"/>
    <w:rsid w:val="00600F76"/>
    <w:rsid w:val="00603901"/>
    <w:rsid w:val="00603DDD"/>
    <w:rsid w:val="00604FC3"/>
    <w:rsid w:val="00612142"/>
    <w:rsid w:val="0062118B"/>
    <w:rsid w:val="00640AA4"/>
    <w:rsid w:val="00642CDA"/>
    <w:rsid w:val="00650D9E"/>
    <w:rsid w:val="006517BA"/>
    <w:rsid w:val="00651E6D"/>
    <w:rsid w:val="00656D86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3C1B"/>
    <w:rsid w:val="00694129"/>
    <w:rsid w:val="006972C6"/>
    <w:rsid w:val="006A47EA"/>
    <w:rsid w:val="006B131E"/>
    <w:rsid w:val="006B78E7"/>
    <w:rsid w:val="006C360B"/>
    <w:rsid w:val="006E0CAF"/>
    <w:rsid w:val="006E23C2"/>
    <w:rsid w:val="006E5ACF"/>
    <w:rsid w:val="006F0A89"/>
    <w:rsid w:val="006F79EB"/>
    <w:rsid w:val="00722E70"/>
    <w:rsid w:val="00727599"/>
    <w:rsid w:val="00740BCC"/>
    <w:rsid w:val="00746F1B"/>
    <w:rsid w:val="007640D6"/>
    <w:rsid w:val="00772DFB"/>
    <w:rsid w:val="00774079"/>
    <w:rsid w:val="00775DE0"/>
    <w:rsid w:val="007802B3"/>
    <w:rsid w:val="0078758D"/>
    <w:rsid w:val="007940D1"/>
    <w:rsid w:val="007B0470"/>
    <w:rsid w:val="007B132D"/>
    <w:rsid w:val="007B7068"/>
    <w:rsid w:val="007C58EC"/>
    <w:rsid w:val="007C62CB"/>
    <w:rsid w:val="007D0B1E"/>
    <w:rsid w:val="007D4B3B"/>
    <w:rsid w:val="007F0ACE"/>
    <w:rsid w:val="007F2D4D"/>
    <w:rsid w:val="0080072C"/>
    <w:rsid w:val="008040FF"/>
    <w:rsid w:val="0080545A"/>
    <w:rsid w:val="00805A25"/>
    <w:rsid w:val="00805D9A"/>
    <w:rsid w:val="00810D0F"/>
    <w:rsid w:val="0082044C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1C29"/>
    <w:rsid w:val="008920E3"/>
    <w:rsid w:val="00895AE8"/>
    <w:rsid w:val="008A5A8B"/>
    <w:rsid w:val="008A666D"/>
    <w:rsid w:val="008B57B7"/>
    <w:rsid w:val="008C4808"/>
    <w:rsid w:val="008D05AC"/>
    <w:rsid w:val="008D0C7F"/>
    <w:rsid w:val="008E5FA6"/>
    <w:rsid w:val="008F2496"/>
    <w:rsid w:val="008F5639"/>
    <w:rsid w:val="00905302"/>
    <w:rsid w:val="00905B7A"/>
    <w:rsid w:val="00910BDD"/>
    <w:rsid w:val="009137D6"/>
    <w:rsid w:val="00913FE6"/>
    <w:rsid w:val="00916A4D"/>
    <w:rsid w:val="00922C61"/>
    <w:rsid w:val="00922E80"/>
    <w:rsid w:val="00925F22"/>
    <w:rsid w:val="00926D0D"/>
    <w:rsid w:val="0092709F"/>
    <w:rsid w:val="00930D3A"/>
    <w:rsid w:val="009350A6"/>
    <w:rsid w:val="009503A9"/>
    <w:rsid w:val="00954BDE"/>
    <w:rsid w:val="009572D4"/>
    <w:rsid w:val="00962AEC"/>
    <w:rsid w:val="00964881"/>
    <w:rsid w:val="009652A1"/>
    <w:rsid w:val="00973144"/>
    <w:rsid w:val="00975658"/>
    <w:rsid w:val="009779FB"/>
    <w:rsid w:val="009827D4"/>
    <w:rsid w:val="0098371D"/>
    <w:rsid w:val="00983A8E"/>
    <w:rsid w:val="00984C5D"/>
    <w:rsid w:val="00991946"/>
    <w:rsid w:val="00992E80"/>
    <w:rsid w:val="0099360B"/>
    <w:rsid w:val="009A2D14"/>
    <w:rsid w:val="009A3C4B"/>
    <w:rsid w:val="009B45A1"/>
    <w:rsid w:val="009B7E6B"/>
    <w:rsid w:val="009C0094"/>
    <w:rsid w:val="009C2004"/>
    <w:rsid w:val="009C2133"/>
    <w:rsid w:val="009C2BA8"/>
    <w:rsid w:val="009D1C24"/>
    <w:rsid w:val="009D31BD"/>
    <w:rsid w:val="009D3B68"/>
    <w:rsid w:val="009D4E00"/>
    <w:rsid w:val="009D63FD"/>
    <w:rsid w:val="009E223A"/>
    <w:rsid w:val="009E3CB6"/>
    <w:rsid w:val="009F28BE"/>
    <w:rsid w:val="009F78E1"/>
    <w:rsid w:val="00A00D2C"/>
    <w:rsid w:val="00A02E43"/>
    <w:rsid w:val="00A1575D"/>
    <w:rsid w:val="00A2296B"/>
    <w:rsid w:val="00A23A0D"/>
    <w:rsid w:val="00A24FA4"/>
    <w:rsid w:val="00A35961"/>
    <w:rsid w:val="00A35970"/>
    <w:rsid w:val="00A3612F"/>
    <w:rsid w:val="00A55BA3"/>
    <w:rsid w:val="00A60863"/>
    <w:rsid w:val="00A63728"/>
    <w:rsid w:val="00A702BE"/>
    <w:rsid w:val="00A71FD7"/>
    <w:rsid w:val="00A74842"/>
    <w:rsid w:val="00A77D1A"/>
    <w:rsid w:val="00A9628F"/>
    <w:rsid w:val="00AA204B"/>
    <w:rsid w:val="00AA74E0"/>
    <w:rsid w:val="00AC1C20"/>
    <w:rsid w:val="00AC78DA"/>
    <w:rsid w:val="00AD108A"/>
    <w:rsid w:val="00AD490C"/>
    <w:rsid w:val="00AE6C92"/>
    <w:rsid w:val="00AE75ED"/>
    <w:rsid w:val="00AF61B0"/>
    <w:rsid w:val="00B01134"/>
    <w:rsid w:val="00B06427"/>
    <w:rsid w:val="00B13D03"/>
    <w:rsid w:val="00B235DC"/>
    <w:rsid w:val="00B31C41"/>
    <w:rsid w:val="00B3542B"/>
    <w:rsid w:val="00B518EA"/>
    <w:rsid w:val="00B528F1"/>
    <w:rsid w:val="00B67DA2"/>
    <w:rsid w:val="00B71859"/>
    <w:rsid w:val="00B745EE"/>
    <w:rsid w:val="00B74EFF"/>
    <w:rsid w:val="00B77D7B"/>
    <w:rsid w:val="00B8193A"/>
    <w:rsid w:val="00B84D85"/>
    <w:rsid w:val="00B901E6"/>
    <w:rsid w:val="00B92F53"/>
    <w:rsid w:val="00B95F75"/>
    <w:rsid w:val="00B962C0"/>
    <w:rsid w:val="00BC0DEC"/>
    <w:rsid w:val="00BC75C4"/>
    <w:rsid w:val="00BD08A8"/>
    <w:rsid w:val="00BD34A3"/>
    <w:rsid w:val="00BD357F"/>
    <w:rsid w:val="00BE043F"/>
    <w:rsid w:val="00BF71BB"/>
    <w:rsid w:val="00C021CF"/>
    <w:rsid w:val="00C04469"/>
    <w:rsid w:val="00C078CC"/>
    <w:rsid w:val="00C12689"/>
    <w:rsid w:val="00C13054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84"/>
    <w:rsid w:val="00C54B62"/>
    <w:rsid w:val="00C553F3"/>
    <w:rsid w:val="00C6227F"/>
    <w:rsid w:val="00C66A98"/>
    <w:rsid w:val="00C67D8D"/>
    <w:rsid w:val="00C71521"/>
    <w:rsid w:val="00C71C1B"/>
    <w:rsid w:val="00C72DB5"/>
    <w:rsid w:val="00C76E16"/>
    <w:rsid w:val="00C80B71"/>
    <w:rsid w:val="00C840F5"/>
    <w:rsid w:val="00C87491"/>
    <w:rsid w:val="00C87F48"/>
    <w:rsid w:val="00C9404D"/>
    <w:rsid w:val="00CA5735"/>
    <w:rsid w:val="00CB0C0A"/>
    <w:rsid w:val="00CB3215"/>
    <w:rsid w:val="00CB4A48"/>
    <w:rsid w:val="00CB6F1A"/>
    <w:rsid w:val="00CC5F6B"/>
    <w:rsid w:val="00CC6FC9"/>
    <w:rsid w:val="00CD0CAC"/>
    <w:rsid w:val="00CD1C34"/>
    <w:rsid w:val="00CD3D50"/>
    <w:rsid w:val="00CE337A"/>
    <w:rsid w:val="00CE5191"/>
    <w:rsid w:val="00CF15AB"/>
    <w:rsid w:val="00D00DF4"/>
    <w:rsid w:val="00D0257E"/>
    <w:rsid w:val="00D2478A"/>
    <w:rsid w:val="00D27CC3"/>
    <w:rsid w:val="00D31CC0"/>
    <w:rsid w:val="00D43CA1"/>
    <w:rsid w:val="00D514D6"/>
    <w:rsid w:val="00D541E4"/>
    <w:rsid w:val="00D5614E"/>
    <w:rsid w:val="00D64998"/>
    <w:rsid w:val="00D718DB"/>
    <w:rsid w:val="00D7349E"/>
    <w:rsid w:val="00D74E46"/>
    <w:rsid w:val="00D857BB"/>
    <w:rsid w:val="00D9453E"/>
    <w:rsid w:val="00D96FCB"/>
    <w:rsid w:val="00DA63DD"/>
    <w:rsid w:val="00DA7443"/>
    <w:rsid w:val="00DB038E"/>
    <w:rsid w:val="00DB6014"/>
    <w:rsid w:val="00DC2337"/>
    <w:rsid w:val="00DD12E3"/>
    <w:rsid w:val="00DD3100"/>
    <w:rsid w:val="00DE06DB"/>
    <w:rsid w:val="00DF5BB8"/>
    <w:rsid w:val="00E07BB3"/>
    <w:rsid w:val="00E13611"/>
    <w:rsid w:val="00E16396"/>
    <w:rsid w:val="00E16F2C"/>
    <w:rsid w:val="00E2238A"/>
    <w:rsid w:val="00E22E2A"/>
    <w:rsid w:val="00E2555F"/>
    <w:rsid w:val="00E31303"/>
    <w:rsid w:val="00E31962"/>
    <w:rsid w:val="00E3277E"/>
    <w:rsid w:val="00E37E16"/>
    <w:rsid w:val="00E414AB"/>
    <w:rsid w:val="00E44A92"/>
    <w:rsid w:val="00E50CED"/>
    <w:rsid w:val="00E50E08"/>
    <w:rsid w:val="00E5599C"/>
    <w:rsid w:val="00E56FE0"/>
    <w:rsid w:val="00E6115B"/>
    <w:rsid w:val="00E651D9"/>
    <w:rsid w:val="00E662D0"/>
    <w:rsid w:val="00E80883"/>
    <w:rsid w:val="00E85347"/>
    <w:rsid w:val="00E85E50"/>
    <w:rsid w:val="00E95DAE"/>
    <w:rsid w:val="00E97274"/>
    <w:rsid w:val="00E97A4E"/>
    <w:rsid w:val="00EA6A44"/>
    <w:rsid w:val="00EB5FAA"/>
    <w:rsid w:val="00EC51E2"/>
    <w:rsid w:val="00EC6EB9"/>
    <w:rsid w:val="00ED571C"/>
    <w:rsid w:val="00ED5AE7"/>
    <w:rsid w:val="00F1224C"/>
    <w:rsid w:val="00F27F28"/>
    <w:rsid w:val="00F35DAD"/>
    <w:rsid w:val="00F36734"/>
    <w:rsid w:val="00F43CA5"/>
    <w:rsid w:val="00F47627"/>
    <w:rsid w:val="00F5254B"/>
    <w:rsid w:val="00F536AC"/>
    <w:rsid w:val="00F55855"/>
    <w:rsid w:val="00F702E3"/>
    <w:rsid w:val="00F74369"/>
    <w:rsid w:val="00F91167"/>
    <w:rsid w:val="00F93807"/>
    <w:rsid w:val="00F97E31"/>
    <w:rsid w:val="00FA4EF1"/>
    <w:rsid w:val="00FA65FF"/>
    <w:rsid w:val="00FA76C9"/>
    <w:rsid w:val="00FA7C0F"/>
    <w:rsid w:val="00FB2944"/>
    <w:rsid w:val="00FC73F9"/>
    <w:rsid w:val="00FC753A"/>
    <w:rsid w:val="00FC7576"/>
    <w:rsid w:val="00FD6AC9"/>
    <w:rsid w:val="00FE224E"/>
    <w:rsid w:val="00FF22A2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00CCDB"/>
  <w15:docId w15:val="{1DE5C681-C788-4228-93F8-C7A79B4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A0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9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B74E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99"/>
    <w:rsid w:val="00640AA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99"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99"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Îáû÷íûé"/>
    <w:uiPriority w:val="99"/>
    <w:rsid w:val="0024257E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semiHidden/>
    <w:rsid w:val="00B74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customStyle="1" w:styleId="16">
    <w:name w:val="Стиль1"/>
    <w:basedOn w:val="a"/>
    <w:rsid w:val="00B74EFF"/>
    <w:pPr>
      <w:spacing w:before="120"/>
    </w:pPr>
    <w:rPr>
      <w:sz w:val="28"/>
      <w:szCs w:val="20"/>
    </w:rPr>
  </w:style>
  <w:style w:type="table" w:customStyle="1" w:styleId="TableGrid">
    <w:name w:val="TableGrid"/>
    <w:rsid w:val="006A47E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rcert.com/script/index_oc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key.com.ua/ua/setificate-one-office/text=3&amp;page=1?lang=u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zo.gov.ua/ca-registry-details?type=0&amp;id=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key.com.ua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F5F8-2B4E-4416-AE9E-79FEDFC7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2019-02-11T12:41:00Z</cp:lastPrinted>
  <dcterms:created xsi:type="dcterms:W3CDTF">2019-06-12T06:03:00Z</dcterms:created>
  <dcterms:modified xsi:type="dcterms:W3CDTF">2019-06-12T06:03:00Z</dcterms:modified>
</cp:coreProperties>
</file>